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9639"/>
        <w:gridCol w:w="2703"/>
      </w:tblGrid>
      <w:tr w:rsidR="00103F48" w:rsidTr="00072F43">
        <w:trPr>
          <w:trHeight w:val="1417"/>
        </w:trPr>
        <w:tc>
          <w:tcPr>
            <w:tcW w:w="2660" w:type="dxa"/>
            <w:vMerge w:val="restart"/>
            <w:vAlign w:val="center"/>
          </w:tcPr>
          <w:p w:rsidR="00103F48" w:rsidRDefault="00103F48" w:rsidP="00103F48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ru-RU"/>
              </w:rPr>
              <w:drawing>
                <wp:inline distT="0" distB="0" distL="0" distR="0">
                  <wp:extent cx="947433" cy="1080000"/>
                  <wp:effectExtent l="19050" t="0" r="5067" b="0"/>
                  <wp:docPr id="5" name="Рисунок 1" descr="F:\Мои документы\Эмблемы\эмблема профсоюза (большая прозрачная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\Эмблемы\эмблема профсоюза (большая прозрачная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3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</w:tcPr>
          <w:p w:rsidR="00103F48" w:rsidRPr="00103F48" w:rsidRDefault="00103F48" w:rsidP="00CD4BF6">
            <w:pPr>
              <w:jc w:val="center"/>
              <w:rPr>
                <w:b/>
                <w:sz w:val="26"/>
                <w:szCs w:val="26"/>
              </w:rPr>
            </w:pPr>
            <w:r w:rsidRPr="00103F48">
              <w:rPr>
                <w:b/>
                <w:sz w:val="26"/>
                <w:szCs w:val="26"/>
              </w:rPr>
              <w:t xml:space="preserve">Территориальная (местная) профсоюзная организация </w:t>
            </w:r>
            <w:proofErr w:type="spellStart"/>
            <w:r w:rsidRPr="00103F48">
              <w:rPr>
                <w:b/>
                <w:sz w:val="26"/>
                <w:szCs w:val="26"/>
              </w:rPr>
              <w:t>Вахитовского</w:t>
            </w:r>
            <w:proofErr w:type="spellEnd"/>
            <w:r w:rsidRPr="00103F48">
              <w:rPr>
                <w:b/>
                <w:sz w:val="26"/>
                <w:szCs w:val="26"/>
              </w:rPr>
              <w:t xml:space="preserve"> и Приволжского районов г.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2703" w:type="dxa"/>
            <w:vMerge w:val="restart"/>
            <w:vAlign w:val="center"/>
          </w:tcPr>
          <w:p w:rsidR="00103F48" w:rsidRDefault="00103F48" w:rsidP="00103F48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ru-RU"/>
              </w:rPr>
              <w:drawing>
                <wp:inline distT="0" distB="0" distL="0" distR="0">
                  <wp:extent cx="1210097" cy="1260000"/>
                  <wp:effectExtent l="19050" t="0" r="0" b="0"/>
                  <wp:docPr id="6" name="Рисунок 2" descr="C:\Users\Aigul\Desktop\Логотип РК Профсоюза\Логотип (без тени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igul\Desktop\Логотип РК Профсоюза\Логотип (без тени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097" cy="12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F48" w:rsidTr="00072F43">
        <w:trPr>
          <w:trHeight w:val="692"/>
        </w:trPr>
        <w:tc>
          <w:tcPr>
            <w:tcW w:w="2660" w:type="dxa"/>
            <w:vMerge/>
            <w:vAlign w:val="center"/>
          </w:tcPr>
          <w:p w:rsidR="00103F48" w:rsidRDefault="00103F48" w:rsidP="00103F48">
            <w:pPr>
              <w:jc w:val="center"/>
              <w:rPr>
                <w:b/>
                <w:noProof/>
                <w:sz w:val="36"/>
                <w:lang w:eastAsia="ru-RU"/>
              </w:rPr>
            </w:pPr>
          </w:p>
        </w:tc>
        <w:tc>
          <w:tcPr>
            <w:tcW w:w="9639" w:type="dxa"/>
            <w:vAlign w:val="center"/>
          </w:tcPr>
          <w:p w:rsidR="00103F48" w:rsidRPr="00103F48" w:rsidRDefault="00103F48" w:rsidP="00103F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БЮЛЛЕТЕНЬ №1 (АПРЕЛЬ 2014)</w:t>
            </w:r>
          </w:p>
        </w:tc>
        <w:tc>
          <w:tcPr>
            <w:tcW w:w="2703" w:type="dxa"/>
            <w:vMerge/>
            <w:vAlign w:val="center"/>
          </w:tcPr>
          <w:p w:rsidR="00103F48" w:rsidRDefault="00103F48" w:rsidP="00103F48">
            <w:pPr>
              <w:jc w:val="center"/>
              <w:rPr>
                <w:b/>
                <w:noProof/>
                <w:sz w:val="36"/>
                <w:lang w:eastAsia="ru-RU"/>
              </w:rPr>
            </w:pPr>
          </w:p>
        </w:tc>
      </w:tr>
    </w:tbl>
    <w:p w:rsidR="00103F48" w:rsidRDefault="00103F48" w:rsidP="00CD4BF6">
      <w:pPr>
        <w:ind w:firstLine="709"/>
        <w:jc w:val="center"/>
        <w:rPr>
          <w:b/>
          <w:sz w:val="36"/>
        </w:rPr>
      </w:pPr>
    </w:p>
    <w:p w:rsidR="00A51EC0" w:rsidRDefault="00CD4BF6" w:rsidP="00CD4BF6">
      <w:pPr>
        <w:ind w:firstLine="709"/>
        <w:jc w:val="center"/>
        <w:rPr>
          <w:b/>
          <w:sz w:val="36"/>
        </w:rPr>
      </w:pPr>
      <w:r w:rsidRPr="006355F7">
        <w:rPr>
          <w:b/>
          <w:sz w:val="36"/>
        </w:rPr>
        <w:t xml:space="preserve">Специальная оценка условий труда: </w:t>
      </w:r>
    </w:p>
    <w:p w:rsidR="00CD4BF6" w:rsidRPr="006355F7" w:rsidRDefault="00CD4BF6" w:rsidP="00CD4BF6">
      <w:pPr>
        <w:ind w:firstLine="709"/>
        <w:jc w:val="center"/>
        <w:rPr>
          <w:b/>
          <w:sz w:val="36"/>
        </w:rPr>
      </w:pPr>
      <w:r w:rsidRPr="006355F7">
        <w:rPr>
          <w:b/>
          <w:sz w:val="36"/>
        </w:rPr>
        <w:t>наши консультации</w:t>
      </w:r>
    </w:p>
    <w:p w:rsidR="00CD4BF6" w:rsidRDefault="00CD4BF6" w:rsidP="00CD4BF6">
      <w:pPr>
        <w:ind w:firstLine="709"/>
        <w:rPr>
          <w:b/>
        </w:rPr>
      </w:pPr>
    </w:p>
    <w:p w:rsidR="00CD4BF6" w:rsidRPr="006355F7" w:rsidRDefault="00CD4BF6" w:rsidP="00CD4BF6">
      <w:pPr>
        <w:ind w:firstLine="709"/>
        <w:rPr>
          <w:b/>
        </w:rPr>
      </w:pPr>
      <w:r w:rsidRPr="006355F7">
        <w:rPr>
          <w:b/>
        </w:rPr>
        <w:t>Что такое специальная оценка условий труда и чем она отличается от аттестации рабочих мест?</w:t>
      </w:r>
    </w:p>
    <w:p w:rsidR="00CD4BF6" w:rsidRDefault="00CD4BF6" w:rsidP="00CD4BF6">
      <w:pPr>
        <w:ind w:firstLine="709"/>
      </w:pPr>
    </w:p>
    <w:p w:rsidR="00CD4BF6" w:rsidRDefault="00CD4BF6" w:rsidP="00CD4BF6">
      <w:pPr>
        <w:ind w:firstLine="709"/>
      </w:pPr>
      <w:r>
        <w:t>Специальная оценка условий труда является единым комплексом последовательно осуществляемых мероприятий по идентификации вредных 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нормативов и применения средств индивидуальной и коллективной защиты.</w:t>
      </w:r>
    </w:p>
    <w:p w:rsidR="00CD4BF6" w:rsidRDefault="00CD4BF6" w:rsidP="00CD4BF6">
      <w:pPr>
        <w:ind w:firstLine="709"/>
      </w:pPr>
      <w:r>
        <w:t xml:space="preserve">От порядка проведения аттестации рабочих мест </w:t>
      </w:r>
      <w:proofErr w:type="spellStart"/>
      <w:r>
        <w:t>спецоценка</w:t>
      </w:r>
      <w:proofErr w:type="spellEnd"/>
      <w:r>
        <w:t xml:space="preserve"> отличается тем, что:</w:t>
      </w:r>
    </w:p>
    <w:p w:rsidR="00CD4BF6" w:rsidRPr="006355F7" w:rsidRDefault="00CD4BF6" w:rsidP="00CD4BF6">
      <w:pPr>
        <w:ind w:firstLine="709"/>
        <w:rPr>
          <w:b/>
        </w:rPr>
      </w:pPr>
      <w:r w:rsidRPr="006355F7">
        <w:rPr>
          <w:b/>
        </w:rPr>
        <w:t>введено несколько новых понятий:</w:t>
      </w:r>
    </w:p>
    <w:p w:rsidR="00CD4BF6" w:rsidRDefault="00CD4BF6" w:rsidP="00CD4BF6">
      <w:pPr>
        <w:ind w:firstLine="709"/>
      </w:pPr>
      <w:r>
        <w:t>«идентификация потенциально вредных и (или) опасных производственных факторов», то есть сопоставление и установление имеющихся на рабочих местах факторов с факторами производственной среды и трудового процесса, предусмотренных классификатором;</w:t>
      </w:r>
    </w:p>
    <w:p w:rsidR="00CD4BF6" w:rsidRDefault="00CD4BF6" w:rsidP="00CD4BF6">
      <w:pPr>
        <w:ind w:firstLine="709"/>
      </w:pPr>
      <w:r>
        <w:t>декларирование соответствия условий труда государственным нормативным требованиям охраны труда;</w:t>
      </w:r>
    </w:p>
    <w:p w:rsidR="00CD4BF6" w:rsidRDefault="00CD4BF6" w:rsidP="00CD4BF6">
      <w:pPr>
        <w:ind w:firstLine="709"/>
      </w:pPr>
      <w:r>
        <w:t xml:space="preserve">появилось новое лицо – эксперт организации, проводящей </w:t>
      </w:r>
      <w:proofErr w:type="spellStart"/>
      <w:r>
        <w:t>спецоценку</w:t>
      </w:r>
      <w:proofErr w:type="spellEnd"/>
      <w:r>
        <w:t xml:space="preserve"> условий труда;</w:t>
      </w:r>
    </w:p>
    <w:p w:rsidR="00CD4BF6" w:rsidRDefault="00CD4BF6" w:rsidP="00CD4BF6">
      <w:pPr>
        <w:ind w:firstLine="709"/>
      </w:pPr>
      <w:r>
        <w:t xml:space="preserve">повышены требования к организациям и экспертам, которые проводят </w:t>
      </w:r>
      <w:proofErr w:type="spellStart"/>
      <w:r>
        <w:t>спецоценку</w:t>
      </w:r>
      <w:proofErr w:type="spellEnd"/>
      <w:r>
        <w:t>.</w:t>
      </w:r>
    </w:p>
    <w:p w:rsidR="00CD4BF6" w:rsidRDefault="00CD4BF6" w:rsidP="00CD4BF6">
      <w:pPr>
        <w:ind w:firstLine="709"/>
      </w:pPr>
      <w:r>
        <w:t>Организации проводящие СОУТ, должны иметь в штате не менее 5 экспертов, в том числе хотя бы одного врача по гигиене труда. Эксперт должен иметь высшее образование, опыт работы в области не менее 3-х лет, дополнительное профессиональное образование не менее 72 часов, данные об эксперте вносятся в реестр Минтруда;</w:t>
      </w:r>
    </w:p>
    <w:p w:rsidR="00CD4BF6" w:rsidRDefault="00CD4BF6" w:rsidP="00CD4BF6">
      <w:pPr>
        <w:ind w:firstLine="709"/>
      </w:pPr>
      <w:r>
        <w:lastRenderedPageBreak/>
        <w:t xml:space="preserve">изменился состав комиссии по </w:t>
      </w:r>
      <w:proofErr w:type="spellStart"/>
      <w:r>
        <w:t>спецоценке</w:t>
      </w:r>
      <w:proofErr w:type="spellEnd"/>
      <w:r>
        <w:t>. В ее составе только представители работодателя и первичной профсоюзной организации, эксперт в состав комиссии не входит;</w:t>
      </w:r>
    </w:p>
    <w:p w:rsidR="00CD4BF6" w:rsidRDefault="00CD4BF6" w:rsidP="00CD4BF6">
      <w:pPr>
        <w:ind w:firstLine="709"/>
      </w:pPr>
      <w:r>
        <w:t xml:space="preserve">установлено, что </w:t>
      </w:r>
      <w:proofErr w:type="spellStart"/>
      <w:r>
        <w:t>госэкспертиза</w:t>
      </w:r>
      <w:proofErr w:type="spellEnd"/>
      <w:r>
        <w:t xml:space="preserve"> результатов </w:t>
      </w:r>
      <w:proofErr w:type="spellStart"/>
      <w:r>
        <w:t>спецоценки</w:t>
      </w:r>
      <w:proofErr w:type="spellEnd"/>
      <w:r>
        <w:t xml:space="preserve"> является платной.</w:t>
      </w:r>
    </w:p>
    <w:p w:rsidR="00CD4BF6" w:rsidRDefault="00CD4BF6" w:rsidP="00CD4BF6">
      <w:pPr>
        <w:ind w:firstLine="709"/>
      </w:pPr>
      <w:r>
        <w:t>прописаны права и обязанности работников.</w:t>
      </w:r>
    </w:p>
    <w:p w:rsidR="00CD4BF6" w:rsidRDefault="00CD4BF6" w:rsidP="00CD4BF6">
      <w:pPr>
        <w:ind w:firstLine="709"/>
      </w:pPr>
    </w:p>
    <w:p w:rsidR="00CD4BF6" w:rsidRPr="006355F7" w:rsidRDefault="00CD4BF6" w:rsidP="00CD4BF6">
      <w:pPr>
        <w:ind w:firstLine="709"/>
        <w:rPr>
          <w:b/>
        </w:rPr>
      </w:pPr>
      <w:r w:rsidRPr="006355F7">
        <w:rPr>
          <w:b/>
        </w:rPr>
        <w:t xml:space="preserve">Может ли работодатель провести </w:t>
      </w:r>
      <w:proofErr w:type="spellStart"/>
      <w:r w:rsidRPr="006355F7">
        <w:rPr>
          <w:b/>
        </w:rPr>
        <w:t>спецоценку</w:t>
      </w:r>
      <w:proofErr w:type="spellEnd"/>
      <w:r w:rsidRPr="006355F7">
        <w:rPr>
          <w:b/>
        </w:rPr>
        <w:t xml:space="preserve">, если не истек срок действия аттестации рабочих мест, отменить или изменить объем компенсаций, установленных аттестацией рабочих мест? отменяет ли </w:t>
      </w:r>
      <w:proofErr w:type="spellStart"/>
      <w:r w:rsidRPr="006355F7">
        <w:rPr>
          <w:b/>
        </w:rPr>
        <w:t>спецоценка</w:t>
      </w:r>
      <w:proofErr w:type="spellEnd"/>
      <w:r w:rsidRPr="006355F7">
        <w:rPr>
          <w:b/>
        </w:rPr>
        <w:t xml:space="preserve"> результаты ранее проведенной аттестации рабочих мест?</w:t>
      </w:r>
    </w:p>
    <w:p w:rsidR="00CD4BF6" w:rsidRDefault="00CD4BF6" w:rsidP="00CD4BF6">
      <w:pPr>
        <w:ind w:firstLine="709"/>
      </w:pPr>
    </w:p>
    <w:p w:rsidR="00CD4BF6" w:rsidRDefault="00CD4BF6" w:rsidP="00CD4BF6">
      <w:pPr>
        <w:ind w:firstLine="709"/>
      </w:pPr>
      <w:r>
        <w:t xml:space="preserve">Работодатель добровольно может провести </w:t>
      </w:r>
      <w:proofErr w:type="spellStart"/>
      <w:r>
        <w:t>спецоценку</w:t>
      </w:r>
      <w:proofErr w:type="spellEnd"/>
      <w:r>
        <w:t xml:space="preserve"> на рабочих местах, до истечения срока действия аттестации, но для этого должны быть основания, то есть, на рабочем месте произошли изменения, например, технологические.</w:t>
      </w:r>
    </w:p>
    <w:p w:rsidR="00CD4BF6" w:rsidRDefault="00CD4BF6" w:rsidP="00CD4BF6">
      <w:pPr>
        <w:ind w:firstLine="709"/>
      </w:pPr>
      <w:r>
        <w:t>Если изменений нет, то необходимо внимательно изучить ст.15 закона №421-ФЗ «О внесении изменений….», где сказано, что «При реализации в соответствии с положениями Трудового кодекса Российской Федерации (в редакции настоящего Федерального закона) в отношении работников, занятых на работах с вредными и (или) опасными условиями труда, компенсационных мер, направленных на ослабление негативного воздействия на их здоровье вредных и (или)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порядок и условия осуществления таких мер не могут быть ухудшены, а размеры снижены 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 силу настоящего Федерального закона при условии сохранения соответствующих условий труда на рабочем месте, явившихся основанием для назначения реализуемых компенсационных мер».</w:t>
      </w:r>
    </w:p>
    <w:p w:rsidR="00CD4BF6" w:rsidRDefault="00CD4BF6" w:rsidP="00CD4BF6">
      <w:pPr>
        <w:ind w:firstLine="709"/>
      </w:pPr>
      <w:proofErr w:type="spellStart"/>
      <w:r>
        <w:t>Спецоценка</w:t>
      </w:r>
      <w:proofErr w:type="spellEnd"/>
      <w:r>
        <w:t xml:space="preserve"> не отменяет результаты ранее проведенной аттестации рабочих мест, они действуют в течение 5 лет, например, если аттестация проведена в 2013 году, то срок истечет 31 декабря 2018 года.</w:t>
      </w:r>
    </w:p>
    <w:p w:rsidR="00CD4BF6" w:rsidRDefault="00CD4BF6" w:rsidP="00CD4BF6">
      <w:pPr>
        <w:ind w:firstLine="709"/>
      </w:pPr>
    </w:p>
    <w:p w:rsidR="00CD4BF6" w:rsidRDefault="00CD4BF6" w:rsidP="00103F48">
      <w:pPr>
        <w:ind w:firstLine="709"/>
        <w:jc w:val="center"/>
      </w:pPr>
    </w:p>
    <w:p w:rsidR="00CD4BF6" w:rsidRDefault="00CD4BF6">
      <w:pPr>
        <w:sectPr w:rsidR="00CD4BF6" w:rsidSect="00072F43">
          <w:pgSz w:w="16838" w:h="11906" w:orient="landscape"/>
          <w:pgMar w:top="709" w:right="1134" w:bottom="709" w:left="1134" w:header="709" w:footer="709" w:gutter="0"/>
          <w:cols w:space="708"/>
          <w:docGrid w:linePitch="381"/>
        </w:sectPr>
      </w:pPr>
    </w:p>
    <w:p w:rsidR="00CD4BF6" w:rsidRPr="000511C1" w:rsidRDefault="00CD4BF6" w:rsidP="00CD4BF6">
      <w:pPr>
        <w:jc w:val="center"/>
        <w:rPr>
          <w:b/>
          <w:sz w:val="24"/>
          <w:szCs w:val="24"/>
        </w:rPr>
      </w:pPr>
      <w:r w:rsidRPr="000511C1">
        <w:rPr>
          <w:b/>
          <w:sz w:val="24"/>
          <w:szCs w:val="24"/>
        </w:rPr>
        <w:lastRenderedPageBreak/>
        <w:t xml:space="preserve">Распределение функциональных обязанностей по охране труда среди </w:t>
      </w:r>
      <w:r>
        <w:rPr>
          <w:b/>
          <w:sz w:val="24"/>
          <w:szCs w:val="24"/>
        </w:rPr>
        <w:t xml:space="preserve">работников </w:t>
      </w:r>
      <w:r w:rsidRPr="000511C1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образовательной организации</w:t>
      </w:r>
    </w:p>
    <w:tbl>
      <w:tblPr>
        <w:tblW w:w="151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1"/>
        <w:gridCol w:w="2663"/>
        <w:gridCol w:w="709"/>
        <w:gridCol w:w="1880"/>
        <w:gridCol w:w="2798"/>
        <w:gridCol w:w="567"/>
        <w:gridCol w:w="1932"/>
        <w:gridCol w:w="2604"/>
      </w:tblGrid>
      <w:tr w:rsidR="00CD4BF6" w:rsidRPr="002E264F" w:rsidTr="00530781">
        <w:tc>
          <w:tcPr>
            <w:tcW w:w="15134" w:type="dxa"/>
            <w:gridSpan w:val="8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 ОО</w:t>
            </w:r>
          </w:p>
        </w:tc>
      </w:tr>
      <w:tr w:rsidR="00CD4BF6" w:rsidRPr="002E264F" w:rsidTr="00530781">
        <w:tc>
          <w:tcPr>
            <w:tcW w:w="15134" w:type="dxa"/>
            <w:gridSpan w:val="8"/>
          </w:tcPr>
          <w:p w:rsidR="00CD4BF6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 xml:space="preserve">Организует работу по созданию и обеспечению условий проведения образовательного процесса в соответствии с действующими законодательными, нормативными, правовыми актами по охране труда. </w:t>
            </w:r>
          </w:p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 xml:space="preserve">Проводит инструктажи по охране труда с </w:t>
            </w:r>
            <w:r>
              <w:rPr>
                <w:sz w:val="24"/>
                <w:szCs w:val="24"/>
              </w:rPr>
              <w:t>работниками образовательной организации</w:t>
            </w:r>
            <w:r w:rsidRPr="002E264F">
              <w:rPr>
                <w:sz w:val="24"/>
                <w:szCs w:val="24"/>
              </w:rPr>
              <w:t>.</w:t>
            </w:r>
          </w:p>
        </w:tc>
      </w:tr>
      <w:tr w:rsidR="00CD4BF6" w:rsidRPr="002E264F" w:rsidTr="00530781">
        <w:tc>
          <w:tcPr>
            <w:tcW w:w="1981" w:type="dxa"/>
            <w:tcBorders>
              <w:lef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3" w:type="dxa"/>
            <w:tcBorders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lef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04" w:type="dxa"/>
            <w:tcBorders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BF6" w:rsidRPr="002E264F" w:rsidTr="00530781">
        <w:trPr>
          <w:trHeight w:val="744"/>
        </w:trPr>
        <w:tc>
          <w:tcPr>
            <w:tcW w:w="4644" w:type="dxa"/>
            <w:gridSpan w:val="2"/>
            <w:vAlign w:val="center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264F">
              <w:rPr>
                <w:b/>
                <w:sz w:val="24"/>
                <w:szCs w:val="24"/>
              </w:rPr>
              <w:t xml:space="preserve">Заместитель </w:t>
            </w:r>
            <w:r>
              <w:rPr>
                <w:b/>
                <w:sz w:val="24"/>
                <w:szCs w:val="24"/>
              </w:rPr>
              <w:t xml:space="preserve">руководителя </w:t>
            </w:r>
            <w:r w:rsidRPr="002E264F">
              <w:rPr>
                <w:b/>
                <w:sz w:val="24"/>
                <w:szCs w:val="24"/>
              </w:rPr>
              <w:t>по УВР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E264F">
              <w:rPr>
                <w:b/>
                <w:sz w:val="24"/>
                <w:szCs w:val="24"/>
              </w:rPr>
              <w:t xml:space="preserve">Заместитель </w:t>
            </w:r>
            <w:r>
              <w:rPr>
                <w:b/>
                <w:sz w:val="24"/>
                <w:szCs w:val="24"/>
              </w:rPr>
              <w:t>руководителя</w:t>
            </w:r>
            <w:r w:rsidRPr="002E264F">
              <w:rPr>
                <w:b/>
                <w:sz w:val="24"/>
                <w:szCs w:val="24"/>
              </w:rPr>
              <w:t xml:space="preserve"> по АХЧ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000000"/>
            </w:tcBorders>
            <w:vAlign w:val="center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Комиссия по охране труда</w:t>
            </w: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Проводит вторую ступень трехступенчатого контроля охраны труда в учебных кабинетах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Проводит вторую ступень трехступенчатого контроля охраны труда в производственных помещениях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CD4BF6" w:rsidRPr="00B4162B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4162B">
              <w:rPr>
                <w:sz w:val="24"/>
                <w:szCs w:val="24"/>
              </w:rPr>
              <w:t xml:space="preserve">Проводит  </w:t>
            </w:r>
            <w:r>
              <w:rPr>
                <w:sz w:val="24"/>
                <w:szCs w:val="24"/>
              </w:rPr>
              <w:t xml:space="preserve">работу </w:t>
            </w:r>
            <w:r w:rsidRPr="00B4162B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П</w:t>
            </w:r>
            <w:r w:rsidRPr="00B4162B">
              <w:rPr>
                <w:sz w:val="24"/>
                <w:szCs w:val="24"/>
              </w:rPr>
              <w:t>оложением и общешкольным планом, Соглашением по охране труда</w:t>
            </w: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Проводит расследование несчастных случаев с учащимися и работниками школы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Ведет текущий контроль за техническим состоянием оборудования учреждения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Составляет приказы по вопросам охраны труда во время учебно-воспитательного процесса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Проводит обучение и проверку знаний охраны труда обслуживающего персонала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Проводит обучение и проверку знаний охраны труда педагогических работников. Ведет учет проверки знаний охраны труда работников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Обеспечивает средствами индивидуальной защиты работников и учащихся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Оказывает практическую помощь педагогическим работникам по вопросам охраны труда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Проводит контроль состояния здания школы и организует его ремонт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Участвует в состоянии соглашения по охране труда к коллективному договору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Оказывает практическую помощь техническим работникам по вопросам охраны труда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Проводит проверку состояния охраны труда в школе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Участвует в планировании и проведении мероприятий по охране руда, жизни и здоровья обучающихся и работников учреждения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Составляет отчетные документы по вопросам охраны труда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Составляет отчетные документы по вопросам охраны труда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4BF6" w:rsidRPr="002E264F" w:rsidTr="00530781">
        <w:tc>
          <w:tcPr>
            <w:tcW w:w="4644" w:type="dxa"/>
            <w:gridSpan w:val="2"/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64F">
              <w:rPr>
                <w:sz w:val="24"/>
                <w:szCs w:val="24"/>
              </w:rPr>
              <w:t>Осуществляет контроль за вводным инструктажем учащихся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4BF6" w:rsidRPr="002E264F" w:rsidRDefault="00CD4BF6" w:rsidP="0053078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C703B" w:rsidRDefault="00FC703B" w:rsidP="00103F48">
      <w:pPr>
        <w:jc w:val="center"/>
        <w:rPr>
          <w:b/>
          <w:szCs w:val="40"/>
        </w:rPr>
      </w:pPr>
    </w:p>
    <w:p w:rsidR="00072F43" w:rsidRPr="00072F43" w:rsidRDefault="00FC703B" w:rsidP="00072F43">
      <w:pPr>
        <w:jc w:val="center"/>
        <w:rPr>
          <w:b/>
          <w:szCs w:val="32"/>
        </w:rPr>
      </w:pPr>
      <w:r>
        <w:rPr>
          <w:b/>
          <w:szCs w:val="40"/>
        </w:rPr>
        <w:br w:type="page"/>
      </w:r>
      <w:r w:rsidR="00072F43" w:rsidRPr="00072F43">
        <w:rPr>
          <w:b/>
          <w:szCs w:val="32"/>
        </w:rPr>
        <w:lastRenderedPageBreak/>
        <w:t>План работы уполномоченного по охране труда</w:t>
      </w:r>
    </w:p>
    <w:p w:rsidR="00072F43" w:rsidRPr="00072F43" w:rsidRDefault="00072F43" w:rsidP="00072F43">
      <w:pPr>
        <w:jc w:val="center"/>
        <w:rPr>
          <w:b/>
          <w:szCs w:val="32"/>
        </w:rPr>
      </w:pPr>
      <w:r w:rsidRPr="00072F43">
        <w:rPr>
          <w:b/>
          <w:szCs w:val="32"/>
        </w:rPr>
        <w:t>___________________________________________________________________________________</w:t>
      </w:r>
    </w:p>
    <w:p w:rsidR="00072F43" w:rsidRPr="00072F43" w:rsidRDefault="00072F43" w:rsidP="00072F43">
      <w:pPr>
        <w:jc w:val="center"/>
        <w:rPr>
          <w:b/>
          <w:sz w:val="18"/>
          <w:szCs w:val="32"/>
        </w:rPr>
      </w:pPr>
    </w:p>
    <w:p w:rsidR="00072F43" w:rsidRPr="00072F43" w:rsidRDefault="00072F43" w:rsidP="00072F43">
      <w:pPr>
        <w:jc w:val="center"/>
        <w:rPr>
          <w:b/>
          <w:szCs w:val="32"/>
        </w:rPr>
      </w:pPr>
      <w:r w:rsidRPr="00072F43">
        <w:rPr>
          <w:b/>
          <w:szCs w:val="32"/>
        </w:rPr>
        <w:t>на 2013/2014 учебный год</w:t>
      </w:r>
    </w:p>
    <w:p w:rsidR="00072F43" w:rsidRPr="00072F43" w:rsidRDefault="00072F43" w:rsidP="00072F43">
      <w:pPr>
        <w:jc w:val="center"/>
        <w:rPr>
          <w:b/>
          <w:sz w:val="18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6"/>
        <w:gridCol w:w="1297"/>
        <w:gridCol w:w="1296"/>
        <w:gridCol w:w="1297"/>
        <w:gridCol w:w="1296"/>
        <w:gridCol w:w="1297"/>
        <w:gridCol w:w="1297"/>
        <w:gridCol w:w="1296"/>
        <w:gridCol w:w="1297"/>
        <w:gridCol w:w="1296"/>
        <w:gridCol w:w="1297"/>
        <w:gridCol w:w="1297"/>
      </w:tblGrid>
      <w:tr w:rsidR="00072F43" w:rsidRPr="00072F43" w:rsidTr="00072F43">
        <w:tc>
          <w:tcPr>
            <w:tcW w:w="1296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b/>
                <w:sz w:val="24"/>
                <w:szCs w:val="24"/>
              </w:rPr>
            </w:pPr>
            <w:r w:rsidRPr="00072F43">
              <w:rPr>
                <w:b/>
                <w:sz w:val="24"/>
                <w:szCs w:val="24"/>
              </w:rPr>
              <w:t>Август</w:t>
            </w:r>
          </w:p>
        </w:tc>
      </w:tr>
      <w:tr w:rsidR="00072F43" w:rsidRPr="00072F43" w:rsidTr="00072F43">
        <w:tc>
          <w:tcPr>
            <w:tcW w:w="1296" w:type="dxa"/>
          </w:tcPr>
          <w:p w:rsidR="00072F43" w:rsidRPr="00072F43" w:rsidRDefault="00072F43" w:rsidP="00072F43">
            <w:pPr>
              <w:ind w:right="-25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Согласование инструкции по охране труда. Проверка спортивных сооружений и оборудования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ind w:right="-108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Проверка состояния средств пожаротушения и эвакуации на случай возникновения пожара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ind w:right="-108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Организация рабочего контроля за состоянием оборудования в школьной столовой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ind w:right="-108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Отчёт о выполнении коллективного договора (раздел охрана труда) и Соглашения по охране труда.</w:t>
            </w:r>
          </w:p>
          <w:p w:rsidR="00072F43" w:rsidRPr="00072F43" w:rsidRDefault="00072F43" w:rsidP="00072F43">
            <w:pPr>
              <w:ind w:right="-108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Заключение Соглашения с администрацией ОУ о проведении мероприятий по охране труда на следующий календарный год.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Оборудование комнаты отдыха для работников ОУ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ind w:right="-108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Консультирование членов профсоюза по охране труда и технике безопасности. Подготовка совместно с администрацией совещания по соблюдению требований  безопасности  на рабочих местах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ind w:right="-108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Проверка обследования технического состояния здания, кабинетов, учебных мастерских, оборудования на соответствие их нормам и правилам охраны труда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ind w:right="-108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Проверка обеспечения работников средствами индивидуальной защиты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ind w:right="-72"/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Проверка предоставления дополнительных отпусков работникам занятых на вредных условиях труда. Участие в проведении инструктажа работников занятых в летних пришкольных лагерях и мелком ремонте ОУ.</w:t>
            </w:r>
          </w:p>
        </w:tc>
        <w:tc>
          <w:tcPr>
            <w:tcW w:w="1296" w:type="dxa"/>
          </w:tcPr>
          <w:p w:rsidR="00072F43" w:rsidRPr="00072F43" w:rsidRDefault="00072F43" w:rsidP="00072F43">
            <w:pPr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Проверка состояния охраны труда и техники безопасности в пришкольном летнем лагере</w:t>
            </w: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</w:tcPr>
          <w:p w:rsidR="00072F43" w:rsidRPr="00072F43" w:rsidRDefault="00072F43" w:rsidP="00072F43">
            <w:pPr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Медицинский осмотр работников ОУ.</w:t>
            </w:r>
          </w:p>
          <w:p w:rsidR="00072F43" w:rsidRPr="00072F43" w:rsidRDefault="00072F43" w:rsidP="00072F43">
            <w:pPr>
              <w:jc w:val="center"/>
              <w:rPr>
                <w:sz w:val="24"/>
                <w:szCs w:val="24"/>
              </w:rPr>
            </w:pPr>
            <w:r w:rsidRPr="00072F43">
              <w:rPr>
                <w:sz w:val="24"/>
                <w:szCs w:val="24"/>
              </w:rPr>
              <w:t>Участие в работе комиссии по приемке ОУ к новому учебному году.</w:t>
            </w:r>
          </w:p>
        </w:tc>
      </w:tr>
    </w:tbl>
    <w:p w:rsidR="00CD4BF6" w:rsidRDefault="00CD4BF6"/>
    <w:sectPr w:rsidR="00CD4BF6" w:rsidSect="00072F43">
      <w:pgSz w:w="16838" w:h="11906" w:orient="landscape"/>
      <w:pgMar w:top="426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CD4BF6"/>
    <w:rsid w:val="00072F43"/>
    <w:rsid w:val="00103F48"/>
    <w:rsid w:val="002965F6"/>
    <w:rsid w:val="003972F5"/>
    <w:rsid w:val="005B1DFE"/>
    <w:rsid w:val="006777FF"/>
    <w:rsid w:val="00A51EC0"/>
    <w:rsid w:val="00AC081B"/>
    <w:rsid w:val="00CD4BF6"/>
    <w:rsid w:val="00FC7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4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3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Aigul</cp:lastModifiedBy>
  <cp:revision>5</cp:revision>
  <cp:lastPrinted>2014-04-18T06:04:00Z</cp:lastPrinted>
  <dcterms:created xsi:type="dcterms:W3CDTF">2014-04-18T04:22:00Z</dcterms:created>
  <dcterms:modified xsi:type="dcterms:W3CDTF">2014-04-18T12:36:00Z</dcterms:modified>
</cp:coreProperties>
</file>