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00" w:rsidRPr="00A071BA" w:rsidRDefault="006D2500" w:rsidP="006D2500">
      <w:pPr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</w:pP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Об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утверждении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Правил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мер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по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сокращению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работников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лечения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работников,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занятых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на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работах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с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вредными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(или)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опасными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факторами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(с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изменениями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на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3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декабря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2018</w:t>
      </w:r>
      <w:r w:rsidR="0041470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b/>
          <w:bCs/>
          <w:color w:val="2D2D2D"/>
          <w:kern w:val="36"/>
          <w:szCs w:val="28"/>
          <w:lang w:eastAsia="ru-RU"/>
        </w:rPr>
        <w:t>года)</w:t>
      </w:r>
    </w:p>
    <w:p w:rsidR="0041470A" w:rsidRDefault="0041470A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6D2500" w:rsidRPr="00A071BA" w:rsidRDefault="006D2500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МИНИСТЕРСТВО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СОЦИАЛЬНОЙ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ЗАЩИТЫ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ФЕДЕРАЦИИ</w:t>
      </w:r>
    </w:p>
    <w:p w:rsidR="0041470A" w:rsidRDefault="0041470A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6D2500" w:rsidRPr="00A071BA" w:rsidRDefault="006D2500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ПРИКАЗ</w:t>
      </w:r>
    </w:p>
    <w:p w:rsidR="0041470A" w:rsidRDefault="0041470A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41470A" w:rsidRDefault="006D2500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от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10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декабря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2012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580н</w:t>
      </w:r>
    </w:p>
    <w:p w:rsidR="0041470A" w:rsidRDefault="0041470A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6D2500" w:rsidRPr="00A071BA" w:rsidRDefault="006D2500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утверждении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Правил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факторами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декабря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года)</w:t>
      </w:r>
    </w:p>
    <w:p w:rsidR="0041470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____________________________________________________________________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внесенными: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защиты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мая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220н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(Российская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газета,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154,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17.07.2013);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февраля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103н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(Российская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газета,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118,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28.05.2014);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интернет-портал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www.pravo.gov.ru,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01.08.2016,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0001201608010022)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вступления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силу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см.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пункт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статьи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интернет-портал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www.pravo.gov.ru,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09.08.2016,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0001201608090006);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интернет-портал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www.pravo.gov.ru,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26.12.2017,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0001201712260005);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1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августа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570н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интернет-портал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www.pravo.gov.ru,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24.09.2018,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0001201809240030);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hyperlink r:id="rId1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интернет-портал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www.pravo.gov.ru,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17.01.2019,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0001201901170014).</w:t>
      </w:r>
    </w:p>
    <w:p w:rsidR="006D2500" w:rsidRPr="00A071B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</w:t>
      </w: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пунктом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части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статьи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закона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1998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125-ФЗ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обязательном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страховании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lastRenderedPageBreak/>
          <w:t>несчастных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случаев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производстве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профессиональных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заболеваний"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(Собрание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1998,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31,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ст.3803;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2003,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17,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ст.1554;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2011,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45,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ст.6330),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подпунктом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5.2.35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Положения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защиты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Правительства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июня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610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(Собрание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2012,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26,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ст.3528),</w:t>
      </w:r>
    </w:p>
    <w:p w:rsidR="006D2500" w:rsidRPr="00A071B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(Преамбула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41470A" w:rsidRDefault="0041470A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приказываю:</w:t>
      </w:r>
    </w:p>
    <w:p w:rsidR="006D2500" w:rsidRPr="00A071B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Утвердить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факторами,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приложению.</w:t>
      </w:r>
    </w:p>
    <w:p w:rsidR="006D2500" w:rsidRPr="00A071B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41470A" w:rsidRDefault="006D2500" w:rsidP="00126DFD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факторами,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года.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41470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Министр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М.Топилин</w:t>
      </w:r>
      <w:proofErr w:type="spellEnd"/>
    </w:p>
    <w:p w:rsidR="0041470A" w:rsidRDefault="0041470A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Зарегистрировано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декабря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регистрационный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26440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126DFD">
      <w:pPr>
        <w:rPr>
          <w:rFonts w:eastAsia="Times New Roman" w:cs="Times New Roman"/>
          <w:color w:val="3C3C3C"/>
          <w:spacing w:val="2"/>
          <w:szCs w:val="28"/>
          <w:lang w:eastAsia="ru-RU"/>
        </w:rPr>
      </w:pPr>
      <w:r>
        <w:rPr>
          <w:rFonts w:eastAsia="Times New Roman" w:cs="Times New Roman"/>
          <w:color w:val="3C3C3C"/>
          <w:spacing w:val="2"/>
          <w:szCs w:val="28"/>
          <w:lang w:eastAsia="ru-RU"/>
        </w:rPr>
        <w:br w:type="page"/>
      </w:r>
    </w:p>
    <w:p w:rsidR="006D2500" w:rsidRPr="00A071BA" w:rsidRDefault="006D2500" w:rsidP="006D2500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lastRenderedPageBreak/>
        <w:t>Приложение.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Правила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...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gram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proofErr w:type="gram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июня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fldChar w:fldCharType="begin"/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instrText xml:space="preserve"> HYPERLINK "http://docs.cntd.ru/document/499080139" </w:instrTex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fldChar w:fldCharType="separate"/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приказом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Минтруда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России</w:t>
      </w:r>
      <w:r w:rsidR="00126DFD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от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20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февраля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2014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года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N</w:t>
      </w:r>
      <w:r w:rsidR="0041470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 xml:space="preserve"> </w:t>
      </w:r>
      <w:r w:rsidRPr="00A071BA">
        <w:rPr>
          <w:rFonts w:eastAsia="Times New Roman" w:cs="Times New Roman"/>
          <w:color w:val="00466E"/>
          <w:spacing w:val="2"/>
          <w:szCs w:val="28"/>
          <w:u w:val="single"/>
          <w:lang w:eastAsia="ru-RU"/>
        </w:rPr>
        <w:t>103н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fldChar w:fldCharType="end"/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См.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предыдущую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редакцию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6D2500" w:rsidRPr="00A071BA" w:rsidRDefault="006D2500" w:rsidP="006D2500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Правила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факторами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декабря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года)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bookmarkStart w:id="0" w:name="_GoBack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Правила),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определяют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мер.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пределах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бюджетных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ассигнований,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бюджетом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несчастных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взносы),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перечислению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году.</w:t>
      </w:r>
    </w:p>
    <w:p w:rsidR="00126DFD" w:rsidRDefault="00126DFD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начисленных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вычетом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произведенных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пособий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временной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нетрудоспособности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связи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несчастными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оплату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отпуска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застрахованного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(сверх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ежегодного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оплачиваемого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отпуска,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установленного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весь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проезда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обратно.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цели,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может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увеличен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процентов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несчастных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начисленных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вычетом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произведенных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выплату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пособий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временной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нетрудоспособности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связи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несчастными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оплату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отпуска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застрахованного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(сверх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ежегодного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оплачиваемого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отпуска,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весь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проезда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обратно,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ранее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пять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достижения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возраста,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пенсии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старости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пенсионным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численностью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100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человек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последовательных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рассчитывается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исходя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отчетных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последовательных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может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превышать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перечислению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1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126DF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126DFD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следующие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мероприятия: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приведению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уровней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нормативными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следующих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категорий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численностью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человек),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возложены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обязанности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специалистов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структурных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подразделений)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(муниципальных)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учреждений;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специалисты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члены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комитетов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(комиссий)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(доверенные)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союзов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органов;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отдельные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категории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отнесенных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действующим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объектам,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" name="Прямоугольник 8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FC024" id="Прямоугольник 8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DBbe7V&#10;EwQAAA4IAAAOAAAAAAAAAAAAAAAAAC4CAABkcnMvZTJvRG9jLnhtbFBLAQItABQABgAIAAAAIQB7&#10;smec3AAAAAMBAAAPAAAAAAAAAAAAAAAAAG0GAABkcnMvZG93bnJldi54bWxQSwUGAAAAAAQABADz&#10;AAAAdgcAAAAA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проводится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отрывом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образовательную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деятельность);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7" name="Прямоугольник 7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CDE10" id="Прямоугольник 7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n0wt&#10;jxQEAAAOCAAADgAAAAAAAAAAAAAAAAAuAgAAZHJzL2Uyb0RvYy54bWxQSwECLQAUAAYACAAAACEA&#10;e7JnnNwAAAADAQAADwAAAAAAAAAAAAAAAABuBgAAZHJzL2Rvd25yZXYueG1sUEsFBgAAAAAEAAQA&#10;8wAAAHcHAAAAAA==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Подпункт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2.3.2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Порядка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обучения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охране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проверки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знаний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требований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охраны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работников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организаций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постановлением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развития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образования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января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2003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г.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1/29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февраля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2003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регистрационный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4209),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внесенными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защиты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образования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науки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ноября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г.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697н/1490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декабря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г.,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регистрационный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44767)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1/29).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(Сноска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выполняемых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особых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температурных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связанных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загрязнением,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защиты,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Евразийского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экономического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союза,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типовыми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бесплатной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одежды,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обуви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защиты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типовые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нормы)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смывающих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обезвреживающих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средств;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br/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октября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августа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570н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"г"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настоящих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вступил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силу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2017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положений,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устанавливающих,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что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одежды,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тканей,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трикотажных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полотен,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нетканых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материалов,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происхождения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пункт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Положения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"г"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настоящих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устанавливающие,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что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одежды,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тканей,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трикотажных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полотен,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нетканых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материалов,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происхождения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вступили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силу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2017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2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пункт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факторами;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(обследований)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факторами;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ж)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лечебно-профилактическим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питанием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питание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Перечнем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производств,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профессий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должностей,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которых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дает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бесплатное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получение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лечебно-профилактического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питания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связи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особо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вредными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условиями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proofErr w:type="spellStart"/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Минздравсоцразвития</w:t>
        </w:r>
        <w:proofErr w:type="spellEnd"/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февраля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2009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46н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апреля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2009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13796)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Перечень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проходят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предсменные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предрейсовые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определения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наличия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уровня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содержания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алкоголя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алкотестеры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алкометры</w:t>
      </w:r>
      <w:proofErr w:type="spellEnd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осуществляющими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пассажирские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грузовые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перевозки,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контроля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режимом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отдыха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тахографов</w:t>
      </w:r>
      <w:proofErr w:type="spellEnd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аптечек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помощи;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(систем)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непосредственно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предназначенных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контроля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технологических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процессов,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подземных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(систем)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непосредственно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обеспечивающих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дистанционную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видео-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аудио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фиксацию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инструктажей,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форм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подготовки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хранение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фиксации;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ранее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пять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достижения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возраста,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пенсии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старости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пенсионным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обращается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своей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прилагаемыми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(копиями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лицом,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представляющим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интересы,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бумажном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носителе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электронного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документа.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br/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представляются: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форма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Правилам,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разработанный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улучшению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разработанного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коллективного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(соглашения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между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работодателем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представительным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финансирования;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улучшению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разработанного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(выписка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коллективного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(соглашения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между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работодателем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представительным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обоснования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прилагаемым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обосновывающие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необходимость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числе: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"а"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локального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нормативного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создании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комиссии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гражданско-правового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проводящей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отношении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проводится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"б"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отчета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превышение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допустимых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уровней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местах,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может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аттестации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действовавшим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вступления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силу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закона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426-ФЗ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специальной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оценке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условий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труда"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(Собрание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2013,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52,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ст.6991)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порядком,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истек,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представляются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отчета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аттестации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отчета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реализации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свидетельствующего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снижении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класса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(подкласса)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местах;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обосновывающих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приведению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уровней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нормативными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3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требующих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отрывом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работодателей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оказывающей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работодателей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обучающая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организация)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аккредитованной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1EB02" id="Прямоугольник 6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K&#10;rzVLFgQAAA8IAAAOAAAAAAAAAAAAAAAAAC4CAABkcnMvZTJvRG9jLnhtbFBLAQItABQABgAIAAAA&#10;IQASuwWb3AAAAAMBAAAPAAAAAAAAAAAAAAAAAHAGAABkcnMvZG93bnJldi54bWxQSwUGAAAAAAQA&#10;BADzAAAAeQcAAAAA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образовательную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деятельность,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проходили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абзаце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восьмом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0E85D" id="Прямоугольник 5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og&#10;KLkVBAAADwgAAA4AAAAAAAAAAAAAAAAALgIAAGRycy9lMm9Eb2MueG1sUEsBAi0AFAAGAAgAAAAh&#10;ABK7BZvcAAAAAwEAAA8AAAAAAAAAAAAAAAAAbwYAAGRycy9kb3ducmV2LnhtbFBLBQYAAAAABAAE&#10;APMAAAB4BwAAAAA=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здравоохранения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развития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2010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205н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перечня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услуг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области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охраны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оказания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которых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необходима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аккредитация,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Правил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аккредитации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организаций,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оказывающих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услуги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области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охраны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труда"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июня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17648)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внесенными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приказами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здравоохранения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развития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10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сентября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2010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794н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октября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18605),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июня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644н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июля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21489)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ноября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1379н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декабря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22690).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(Сноска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уведомления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Минздравсоцразвития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обучающей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реестр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оказывающих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области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программы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порядке;</w:t>
      </w:r>
    </w:p>
    <w:p w:rsidR="00126DFD" w:rsidRDefault="00126DFD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образца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реестре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4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подпунктом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2.3.2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Порядка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1/29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образовательной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проходили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абзаце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восьмом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Одновременно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списком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принадлежность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категории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имеющих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проходить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несчастных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заболеваний,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именно: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численностью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человек),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возложены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обязанности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специалистов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должность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справку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прошедший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возложении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малого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предпринимательства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численностью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человек)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обязанностей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специалистов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126DFD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(муниципальных)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учреждений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книжек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должность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(приеме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работу)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(муниципальных)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="006D2500"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учреждений;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специалистов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должность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(приеме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работу)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руководителей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специалистов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комитетов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(комиссий)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работодателей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состава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комитета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(комиссии)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(доверенных)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союзов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выписки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протоколов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профсоюзных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уполномоченных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(доверенных)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категорий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отнесенных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действующим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объектам,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назначении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должность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(приеме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работу)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подпунктом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2.3.2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Порядка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1/29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"г"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перечень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(должностей)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ссылкой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типовых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срока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перечень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аттестации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действовавшим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вступления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силу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закона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426-ФЗ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специальной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оценке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условий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труда"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(Собрание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2013,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52,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ст.6991)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порядком,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истек,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аттестации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(должностей)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срока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сертификатов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(деклараций)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техническому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регламенту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Таможенного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союза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безопасности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средств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индивидуальной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защиты"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(ТР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ТС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019/2011)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5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Решением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Комиссии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Таможенного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союза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г.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878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сайт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Комиссии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Таможенного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союза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http://www.tsouz.ru/,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15.12.2011),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изменениями,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внесенными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решением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Коллегии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Евразийской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экономической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комиссии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lastRenderedPageBreak/>
          <w:t>13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ноября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г.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221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(официальный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сайт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Евразийской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экономической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комиссии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http://www.tsouz.ru/,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20.11.2012);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</w:t>
      </w:r>
      <w:r w:rsidR="00126DFD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четвертый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"г"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вступает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силу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2017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положений,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устанавливающих,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что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одежды,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тканей,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трикотажных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полотен,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нетканых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материалов,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происхождения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Федерация.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См.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пункт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промышленной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продукции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промышленности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торговли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отношении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одежды,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обуви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индивидуальной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защиты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декларации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происхождении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товара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сертификата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происхождении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товара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СИЗ,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изготовленных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других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членов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Евразийского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экономического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союза;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октября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августа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570н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"д"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"н"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заключительный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врачебной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комиссии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итогам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(обследований)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заключительный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акт);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рекомендаций,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заключительном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акте;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путевок;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калькуляцию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путевки;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"н"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справки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путевки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(форма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070/у)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справка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070у),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отсутствии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заключительного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6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рекомендаций,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справке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форме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070у,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отсутствии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заключительного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удостоверяющего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личность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письменное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направляемого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обработку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персональных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данных;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"е"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списка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прохождению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(обследований)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календарном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утвержденного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работодателем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126DFD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3E6A1" id="Прямоугольник 3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7&#10;OGKGFgQAAA8IAAAOAAAAAAAAAAAAAAAAAC4CAABkcnMvZTJvRG9jLnhtbFBLAQItABQABgAIAAAA&#10;IQASuwWb3AAAAAMBAAAPAAAAAAAAAAAAAAAAAHAGAABkcnMvZG93bnJldi54bWxQSwUGAAAAAAQA&#10;BADzAAAAeQcAAAAA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здравоохранения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развития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12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302н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перечней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вредных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(или)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опасных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производственных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факторов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выполнении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которых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проводятся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обязательные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предварительные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периодические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медицинские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осмотры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(обследования),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Порядка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проведения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обязательных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предварительных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периодических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медицинских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осмотров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(обследований)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работников,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занятых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тяжелых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работах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работах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вредными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(или)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опасными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условиями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труда"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октября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22111).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(Сноска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(обследований)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связанных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обязательных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предварительных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(обследований)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ж)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"ж"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перечень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профессий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(должностей)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выдачи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ссылкой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Перечня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рациона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график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занятости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имеющих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получение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фактически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отработанном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времени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особо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вредных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условиях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постатейных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смет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запланированных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планируемый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организациями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общественного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питания,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выдача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производилась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структурных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подразделениях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затраты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ЛПП;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"з"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локального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нормативного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предсменных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предрейсовых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предсменных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предрейсовых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договора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оказывающей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предсменных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предрейсовых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оплату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алкотестеров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алкометров</w:t>
      </w:r>
      <w:proofErr w:type="spellEnd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"и"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пассажирских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грузовых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перевозок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наличии)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экономической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перечень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транспортных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ТС),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оснащению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тахографами</w:t>
      </w:r>
      <w:proofErr w:type="spellEnd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регистрационного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номера,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выпуска,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прохождении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последнего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технического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осмотра;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паспортов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ТС;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свидетельства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инспекции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дорожного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движения;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оплату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тахографов</w:t>
      </w:r>
      <w:proofErr w:type="spellEnd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"к"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перечень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изделий</w:t>
      </w: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2" name="Прямоугольник 2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1DAE9" id="Прямоугольник 2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стоимости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приобретаемых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изделий,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санитарных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комплектацией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аптечками;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________________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noProof/>
          <w:color w:val="2D2D2D"/>
          <w:spacing w:val="2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1" name="Прямоугольник 1" descr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CA5EF" id="Прямоугольник 1" o:spid="_x0000_s1026" alt=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3 декабря 2018 года)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" filled="f" stroked="f">
                <o:lock v:ext="edit" aspectratio="t"/>
                <w10:anchorlock/>
              </v:rect>
            </w:pict>
          </mc:Fallback>
        </mc:AlternateConten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Министерства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здравоохранения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социального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развития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Российской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Федерации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5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марта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169н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"Об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утверждении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требований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комплектации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изделиями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медицинского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назначения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аптечек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оказания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первой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помощи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работникам"</w:t>
        </w:r>
      </w:hyperlink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(зарегистрирован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юстиции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апреля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2011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N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20452).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(Сноска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7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"л"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"м"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обосновывающих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(систем)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(выписки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технических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проектов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проектной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(систем)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непосредственно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предназначенных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контроля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технологических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процессов,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подземных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работах;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образовательной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приобретения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отдельных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(систем)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приборов,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устройств,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оборудования,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непосредственно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обеспечивающих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вопросам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числе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горных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аварии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инцидента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дистанционную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видео-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аудио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фиксацию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безопасному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также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хранение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результатов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такой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фиксации.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2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14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июля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353н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настоящим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пунктом,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представляются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лицом,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представляющим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интересы.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межведомственного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взаимодействия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запрашивает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посредством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межведомственного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запроса: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Министерстве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социальной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защиты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проводящей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реестр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проводящих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специальную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оценку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условий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(реестр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оказывающих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области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"а"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обучающей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реестр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оказывающих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области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охраны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труда,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"в"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надзору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сфере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здравоохранения: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осуществляющей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санаторно-курортное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"д"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оказание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связанных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проведением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предварительных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(обследований)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"е"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услуг)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организации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предсменных</w:t>
      </w:r>
      <w:proofErr w:type="spellEnd"/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</w:t>
      </w:r>
      <w:proofErr w:type="spellStart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предрейсовых</w:t>
      </w:r>
      <w:proofErr w:type="spellEnd"/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медицинских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осмотров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"з"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пассажирских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грузовых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перевозок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вид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экономической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входят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состав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содержащихся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Едином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реестре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юридических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(ЕГРЮЛ),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подпунктом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"и"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ежедневно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поступают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системы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"одного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окна"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налоговой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службы.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вправе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представить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самостоятельно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могут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запрошены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рамках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межведомственного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взаимодействия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настоящим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пунктом.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экологическому,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технологическому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атомному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надзору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государственном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реестре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опасных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производственных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объектов;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3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службе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надзору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сфере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науки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сведения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лицензии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образовательной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деятельности.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включен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4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31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октября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2017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)</w:t>
      </w:r>
    </w:p>
    <w:p w:rsidR="006D2500" w:rsidRPr="00A071BA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6.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Копии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представляемых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должны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заверены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печатью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наличии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печати).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5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Требование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(копий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документов),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помимо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исключений,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5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допускается.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7.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размещает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сайте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информационно-телекоммуникационной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сети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"Интернет"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информацию: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поступившем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время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поступления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наименование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одного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ходе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рассмотрения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8.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(далее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решение)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принимается: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отношении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начисленных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составляет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25000,0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тыс.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рублей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включительно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6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7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б)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отношении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страхователей,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которых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начисленных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предшествующий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составляет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более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25000,0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тыс.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рублей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Фондом.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(Абзац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8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;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28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января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2019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89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3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декабря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2018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764н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согласовывает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15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поступления.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9.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оформляется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приказом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3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рабочих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дней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получения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направляется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принятия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согласовании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-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обоснованием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причин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отказа).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10.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принимает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следующих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случаях: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день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подачи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имеются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непогашенные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недоимка,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задолженность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пеням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штрафам,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образовавшиеся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итогам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отчетного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периода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году,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недоимка,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выявленная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ходе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камеральной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выездной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проверки,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начисленные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пени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штрафы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итогам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камеральной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выездной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проверки;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(Подпункт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90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содержат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недостоверную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информацию;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если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предусмотренные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бюджетом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полностью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распределены;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г)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неполного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комплекта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другим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основаниям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допускается.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вправе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повторно,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позднее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срока,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пунктом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4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обратиться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заявлением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своей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11.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Решение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отказе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может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быть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обжаловано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вышестоящем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суде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ведет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направленных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ежеквартально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использовании.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После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завершения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запланированных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мероприятий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представляет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документы,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подтверждающие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произведенные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расходы.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13.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порядке,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законодательством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Российской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Федерации,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несет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ответственность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целевое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объеме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согласованным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случае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неполного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указанных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средств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сообщает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этом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территориальный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орган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Фонда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месту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своей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регистрации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10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октября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текущего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14.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Расходы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страхователя,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подтвержденные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документами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либо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произведенные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основании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неправильно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оформленных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или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выданных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нарушением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установленного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порядка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документов,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подлежат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зачету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счет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уплаты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(Пункт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редакции,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введенной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действие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12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августа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2016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года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hyperlink r:id="rId91" w:history="1"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приказом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Минтруда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России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от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29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апреля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2016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года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N</w:t>
        </w:r>
        <w:r w:rsidR="0041470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 xml:space="preserve"> </w:t>
        </w:r>
        <w:r w:rsidRPr="00A071BA">
          <w:rPr>
            <w:rFonts w:eastAsia="Times New Roman" w:cs="Times New Roman"/>
            <w:color w:val="00466E"/>
            <w:spacing w:val="2"/>
            <w:szCs w:val="28"/>
            <w:u w:val="single"/>
            <w:lang w:eastAsia="ru-RU"/>
          </w:rPr>
          <w:t>201н</w:t>
        </w:r>
      </w:hyperlink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</w:p>
    <w:p w:rsidR="00126DFD" w:rsidRDefault="006D2500" w:rsidP="00126DF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15.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Страховщик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осуществляет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контроль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за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полнотой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целевым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использованием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сумм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взносов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обеспечение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страхователем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в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соответствии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согласованным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планом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мер.</w:t>
      </w:r>
    </w:p>
    <w:bookmarkEnd w:id="0"/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126DFD">
      <w:pPr>
        <w:rPr>
          <w:rFonts w:eastAsia="Times New Roman" w:cs="Times New Roman"/>
          <w:color w:val="4C4C4C"/>
          <w:spacing w:val="2"/>
          <w:szCs w:val="28"/>
          <w:lang w:eastAsia="ru-RU"/>
        </w:rPr>
      </w:pPr>
      <w:r>
        <w:rPr>
          <w:rFonts w:eastAsia="Times New Roman" w:cs="Times New Roman"/>
          <w:color w:val="4C4C4C"/>
          <w:spacing w:val="2"/>
          <w:szCs w:val="28"/>
          <w:lang w:eastAsia="ru-RU"/>
        </w:rPr>
        <w:br w:type="page"/>
      </w:r>
    </w:p>
    <w:p w:rsidR="006D2500" w:rsidRPr="00A071BA" w:rsidRDefault="006D2500" w:rsidP="006D2500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lastRenderedPageBreak/>
        <w:t>Приложение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Правилам.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4C4C4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4C4C4C"/>
          <w:spacing w:val="2"/>
          <w:szCs w:val="28"/>
          <w:lang w:eastAsia="ru-RU"/>
        </w:rPr>
        <w:t>...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Приложение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к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Правилам</w:t>
      </w:r>
    </w:p>
    <w:p w:rsidR="00126DFD" w:rsidRDefault="00126DFD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126DFD" w:rsidRDefault="00126DFD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</w:p>
    <w:p w:rsidR="006D2500" w:rsidRPr="00A071BA" w:rsidRDefault="006D2500" w:rsidP="006D2500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План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финансового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обеспечения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предупредительных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мер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сокращению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травматизма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профессиональных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заболеваний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санаторно-курортного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лечения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работников,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занятых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на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работах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вредными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(или)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опасными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производственными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3C3C3C"/>
          <w:spacing w:val="2"/>
          <w:szCs w:val="28"/>
          <w:lang w:eastAsia="ru-RU"/>
        </w:rPr>
        <w:t>факторами</w:t>
      </w:r>
      <w:r w:rsidR="0041470A">
        <w:rPr>
          <w:rFonts w:eastAsia="Times New Roman" w:cs="Times New Roman"/>
          <w:color w:val="3C3C3C"/>
          <w:spacing w:val="2"/>
          <w:szCs w:val="28"/>
          <w:lang w:eastAsia="ru-RU"/>
        </w:rPr>
        <w:t xml:space="preserve">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2500" w:rsidRPr="00A071BA" w:rsidTr="006D2500">
        <w:trPr>
          <w:trHeight w:val="15"/>
          <w:jc w:val="center"/>
        </w:trPr>
        <w:tc>
          <w:tcPr>
            <w:tcW w:w="8686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Cs w:val="28"/>
                <w:lang w:eastAsia="ru-RU"/>
              </w:rPr>
            </w:pPr>
          </w:p>
        </w:tc>
      </w:tr>
      <w:tr w:rsidR="006D2500" w:rsidRPr="00A071BA" w:rsidTr="006D2500">
        <w:trPr>
          <w:jc w:val="center"/>
        </w:trPr>
        <w:tc>
          <w:tcPr>
            <w:tcW w:w="8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rPr>
          <w:jc w:val="center"/>
        </w:trPr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(наименование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страхователя)</w:t>
            </w:r>
          </w:p>
        </w:tc>
      </w:tr>
    </w:tbl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65"/>
        <w:gridCol w:w="1867"/>
        <w:gridCol w:w="1155"/>
        <w:gridCol w:w="1048"/>
        <w:gridCol w:w="1149"/>
        <w:gridCol w:w="605"/>
        <w:gridCol w:w="251"/>
        <w:gridCol w:w="285"/>
        <w:gridCol w:w="348"/>
        <w:gridCol w:w="362"/>
      </w:tblGrid>
      <w:tr w:rsidR="006D2500" w:rsidRPr="00126DFD" w:rsidTr="006D2500">
        <w:trPr>
          <w:trHeight w:val="15"/>
        </w:trPr>
        <w:tc>
          <w:tcPr>
            <w:tcW w:w="554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6D2500" w:rsidRPr="00126DFD" w:rsidTr="006D25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N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Наименование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предупредительных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Обоснование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для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проведения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Срок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исполнения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Единицы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126DF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Количество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Планируемые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расходы,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руб.</w:t>
            </w:r>
          </w:p>
        </w:tc>
      </w:tr>
      <w:tr w:rsidR="006D2500" w:rsidRPr="00126DFD" w:rsidTr="006D250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мер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предупредительных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мер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(коллективный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в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том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числе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по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кварталам</w:t>
            </w:r>
          </w:p>
        </w:tc>
      </w:tr>
      <w:tr w:rsidR="006D2500" w:rsidRPr="00126DFD" w:rsidTr="006D250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договор,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соглашение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по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охране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труда,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план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мероприятий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по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улучшению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условий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и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охраны</w:t>
            </w:r>
            <w:r w:rsidR="0041470A"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 xml:space="preserve"> </w:t>
            </w: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труда)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II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III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IV</w:t>
            </w:r>
          </w:p>
        </w:tc>
      </w:tr>
      <w:tr w:rsidR="006D2500" w:rsidRPr="00126DFD" w:rsidTr="006D25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  <w:r w:rsidRPr="00126DFD"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  <w:t>11</w:t>
            </w:r>
          </w:p>
        </w:tc>
      </w:tr>
      <w:tr w:rsidR="006D2500" w:rsidRPr="00126DFD" w:rsidTr="006D25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126DFD" w:rsidRDefault="006D2500" w:rsidP="006D2500">
            <w:pPr>
              <w:ind w:firstLine="0"/>
              <w:jc w:val="lef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554"/>
        <w:gridCol w:w="360"/>
        <w:gridCol w:w="1066"/>
        <w:gridCol w:w="725"/>
        <w:gridCol w:w="366"/>
        <w:gridCol w:w="455"/>
        <w:gridCol w:w="625"/>
        <w:gridCol w:w="4280"/>
      </w:tblGrid>
      <w:tr w:rsidR="006D2500" w:rsidRPr="00A071BA" w:rsidTr="006D2500">
        <w:trPr>
          <w:trHeight w:val="15"/>
        </w:trPr>
        <w:tc>
          <w:tcPr>
            <w:tcW w:w="1848" w:type="dxa"/>
            <w:gridSpan w:val="4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2957" w:type="dxa"/>
            <w:gridSpan w:val="4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5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Руководитель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Главный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бухгалтер</w:t>
            </w:r>
          </w:p>
        </w:tc>
      </w:tr>
      <w:tr w:rsidR="006D2500" w:rsidRPr="00A071BA" w:rsidTr="006D2500"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18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i/>
                <w:iCs/>
                <w:color w:val="2D2D2D"/>
                <w:szCs w:val="28"/>
                <w:lang w:eastAsia="ru-RU"/>
              </w:rPr>
              <w:t>(подпись)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i/>
                <w:iCs/>
                <w:color w:val="2D2D2D"/>
                <w:szCs w:val="28"/>
                <w:lang w:eastAsia="ru-RU"/>
              </w:rPr>
              <w:t>(Ф.И.О.)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i/>
                <w:iCs/>
                <w:color w:val="2D2D2D"/>
                <w:szCs w:val="28"/>
                <w:lang w:eastAsia="ru-RU"/>
              </w:rPr>
              <w:t>(подпись)</w:t>
            </w:r>
            <w:r w:rsidR="0041470A">
              <w:rPr>
                <w:rFonts w:eastAsia="Times New Roman" w:cs="Times New Roman"/>
                <w:i/>
                <w:iCs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i/>
                <w:iCs/>
                <w:color w:val="2D2D2D"/>
                <w:szCs w:val="28"/>
                <w:lang w:eastAsia="ru-RU"/>
              </w:rPr>
              <w:t>(Ф.И.О.)</w:t>
            </w:r>
          </w:p>
        </w:tc>
      </w:tr>
      <w:tr w:rsidR="006D2500" w:rsidRPr="00A071BA" w:rsidTr="006D2500">
        <w:trPr>
          <w:trHeight w:val="15"/>
        </w:trPr>
        <w:tc>
          <w:tcPr>
            <w:tcW w:w="554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83" w:type="dxa"/>
            <w:gridSpan w:val="3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год</w:t>
            </w:r>
          </w:p>
        </w:tc>
      </w:tr>
    </w:tbl>
    <w:p w:rsidR="006D2500" w:rsidRPr="00A071BA" w:rsidRDefault="006D2500" w:rsidP="006D2500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vanish/>
          <w:color w:val="242424"/>
          <w:spacing w:val="2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59"/>
        <w:gridCol w:w="531"/>
        <w:gridCol w:w="1438"/>
        <w:gridCol w:w="712"/>
        <w:gridCol w:w="359"/>
        <w:gridCol w:w="682"/>
        <w:gridCol w:w="359"/>
        <w:gridCol w:w="4383"/>
      </w:tblGrid>
      <w:tr w:rsidR="006D2500" w:rsidRPr="00A071BA" w:rsidTr="006D2500">
        <w:trPr>
          <w:trHeight w:val="15"/>
        </w:trPr>
        <w:tc>
          <w:tcPr>
            <w:tcW w:w="4990" w:type="dxa"/>
            <w:gridSpan w:val="7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Управляющий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(наименование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территориального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органа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Фонда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социального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страхования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Российской</w:t>
            </w:r>
            <w:r w:rsidR="0041470A">
              <w:rPr>
                <w:rFonts w:eastAsia="Times New Roman" w:cs="Times New Roman"/>
                <w:color w:val="2D2D2D"/>
                <w:szCs w:val="28"/>
                <w:lang w:eastAsia="ru-RU"/>
              </w:rPr>
              <w:t xml:space="preserve"> 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Федерации)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(подпись)</w:t>
            </w: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br/>
              <w:t>(Ф.И.О.)</w:t>
            </w:r>
          </w:p>
        </w:tc>
      </w:tr>
      <w:tr w:rsidR="006D2500" w:rsidRPr="00A071BA" w:rsidTr="006D2500">
        <w:trPr>
          <w:gridAfter w:val="1"/>
          <w:wAfter w:w="4330" w:type="dxa"/>
          <w:trHeight w:val="15"/>
        </w:trPr>
        <w:tc>
          <w:tcPr>
            <w:tcW w:w="554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rPr>
          <w:gridAfter w:val="1"/>
          <w:wAfter w:w="4330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год</w:t>
            </w:r>
          </w:p>
        </w:tc>
      </w:tr>
    </w:tbl>
    <w:p w:rsidR="006D2500" w:rsidRPr="00A071BA" w:rsidRDefault="006D2500" w:rsidP="006D2500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vanish/>
          <w:color w:val="242424"/>
          <w:spacing w:val="2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294"/>
        <w:gridCol w:w="924"/>
        <w:gridCol w:w="185"/>
        <w:gridCol w:w="2402"/>
      </w:tblGrid>
      <w:tr w:rsidR="006D2500" w:rsidRPr="00A071BA" w:rsidTr="006D2500">
        <w:trPr>
          <w:trHeight w:val="15"/>
        </w:trPr>
        <w:tc>
          <w:tcPr>
            <w:tcW w:w="2218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42424"/>
                <w:spacing w:val="2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2500" w:rsidRPr="00A071BA" w:rsidTr="006D2500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A071BA">
              <w:rPr>
                <w:rFonts w:eastAsia="Times New Roman" w:cs="Times New Roman"/>
                <w:color w:val="2D2D2D"/>
                <w:szCs w:val="28"/>
                <w:lang w:eastAsia="ru-RU"/>
              </w:rPr>
              <w:t>М.П.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D2500" w:rsidRPr="00A071BA" w:rsidRDefault="006D2500" w:rsidP="006D250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26DFD" w:rsidRDefault="00126DFD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126DFD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126DFD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Редакция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документа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с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учетом</w:t>
      </w:r>
    </w:p>
    <w:p w:rsidR="00126DFD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изменений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и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дополнений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подготовлена</w:t>
      </w:r>
    </w:p>
    <w:p w:rsidR="006D2500" w:rsidRPr="00A071BA" w:rsidRDefault="006D2500" w:rsidP="006D250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АО</w:t>
      </w:r>
      <w:r w:rsidR="0041470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A071BA">
        <w:rPr>
          <w:rFonts w:eastAsia="Times New Roman" w:cs="Times New Roman"/>
          <w:color w:val="2D2D2D"/>
          <w:spacing w:val="2"/>
          <w:szCs w:val="28"/>
          <w:lang w:eastAsia="ru-RU"/>
        </w:rPr>
        <w:t>"Кодекс"</w:t>
      </w:r>
    </w:p>
    <w:p w:rsidR="001E665F" w:rsidRPr="00A071BA" w:rsidRDefault="001E665F">
      <w:pPr>
        <w:rPr>
          <w:rFonts w:cs="Times New Roman"/>
          <w:szCs w:val="28"/>
        </w:rPr>
      </w:pPr>
    </w:p>
    <w:sectPr w:rsidR="001E665F" w:rsidRPr="00A0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00"/>
    <w:rsid w:val="00126DFD"/>
    <w:rsid w:val="001E665F"/>
    <w:rsid w:val="0041470A"/>
    <w:rsid w:val="006D2500"/>
    <w:rsid w:val="00A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F07D"/>
  <w15:chartTrackingRefBased/>
  <w15:docId w15:val="{E61BC062-C08A-46CA-BA16-188DB5A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50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50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50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50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50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50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1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6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6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42610995" TargetMode="External"/><Relationship Id="rId21" Type="http://schemas.openxmlformats.org/officeDocument/2006/relationships/hyperlink" Target="http://docs.cntd.ru/document/551910948" TargetMode="External"/><Relationship Id="rId42" Type="http://schemas.openxmlformats.org/officeDocument/2006/relationships/hyperlink" Target="http://docs.cntd.ru/document/420367708" TargetMode="External"/><Relationship Id="rId47" Type="http://schemas.openxmlformats.org/officeDocument/2006/relationships/hyperlink" Target="http://docs.cntd.ru/document/902314508" TargetMode="External"/><Relationship Id="rId63" Type="http://schemas.openxmlformats.org/officeDocument/2006/relationships/hyperlink" Target="http://docs.cntd.ru/document/542610995" TargetMode="External"/><Relationship Id="rId68" Type="http://schemas.openxmlformats.org/officeDocument/2006/relationships/hyperlink" Target="http://docs.cntd.ru/document/551910948" TargetMode="External"/><Relationship Id="rId84" Type="http://schemas.openxmlformats.org/officeDocument/2006/relationships/hyperlink" Target="http://docs.cntd.ru/document/542610995" TargetMode="External"/><Relationship Id="rId89" Type="http://schemas.openxmlformats.org/officeDocument/2006/relationships/hyperlink" Target="http://docs.cntd.ru/document/551910948" TargetMode="External"/><Relationship Id="rId16" Type="http://schemas.openxmlformats.org/officeDocument/2006/relationships/hyperlink" Target="http://docs.cntd.ru/document/499099922" TargetMode="External"/><Relationship Id="rId11" Type="http://schemas.openxmlformats.org/officeDocument/2006/relationships/hyperlink" Target="http://docs.cntd.ru/document/551910948" TargetMode="External"/><Relationship Id="rId32" Type="http://schemas.openxmlformats.org/officeDocument/2006/relationships/hyperlink" Target="http://docs.cntd.ru/document/902153699" TargetMode="External"/><Relationship Id="rId37" Type="http://schemas.openxmlformats.org/officeDocument/2006/relationships/hyperlink" Target="http://docs.cntd.ru/document/499067392" TargetMode="External"/><Relationship Id="rId53" Type="http://schemas.openxmlformats.org/officeDocument/2006/relationships/hyperlink" Target="http://docs.cntd.ru/document/420367708" TargetMode="External"/><Relationship Id="rId58" Type="http://schemas.openxmlformats.org/officeDocument/2006/relationships/hyperlink" Target="http://docs.cntd.ru/document/902320567" TargetMode="External"/><Relationship Id="rId74" Type="http://schemas.openxmlformats.org/officeDocument/2006/relationships/hyperlink" Target="http://docs.cntd.ru/document/902275195" TargetMode="External"/><Relationship Id="rId79" Type="http://schemas.openxmlformats.org/officeDocument/2006/relationships/hyperlink" Target="http://docs.cntd.ru/document/542610995" TargetMode="External"/><Relationship Id="rId5" Type="http://schemas.openxmlformats.org/officeDocument/2006/relationships/hyperlink" Target="http://docs.cntd.ru/document/499080139" TargetMode="External"/><Relationship Id="rId90" Type="http://schemas.openxmlformats.org/officeDocument/2006/relationships/hyperlink" Target="http://docs.cntd.ru/document/420355007" TargetMode="External"/><Relationship Id="rId22" Type="http://schemas.openxmlformats.org/officeDocument/2006/relationships/hyperlink" Target="http://docs.cntd.ru/document/542610995" TargetMode="External"/><Relationship Id="rId27" Type="http://schemas.openxmlformats.org/officeDocument/2006/relationships/hyperlink" Target="http://docs.cntd.ru/document/551184108" TargetMode="External"/><Relationship Id="rId43" Type="http://schemas.openxmlformats.org/officeDocument/2006/relationships/hyperlink" Target="http://docs.cntd.ru/document/542610995" TargetMode="External"/><Relationship Id="rId48" Type="http://schemas.openxmlformats.org/officeDocument/2006/relationships/hyperlink" Target="http://docs.cntd.ru/document/542610995" TargetMode="External"/><Relationship Id="rId64" Type="http://schemas.openxmlformats.org/officeDocument/2006/relationships/hyperlink" Target="http://docs.cntd.ru/document/551184108" TargetMode="External"/><Relationship Id="rId69" Type="http://schemas.openxmlformats.org/officeDocument/2006/relationships/hyperlink" Target="http://docs.cntd.ru/document/551910948" TargetMode="External"/><Relationship Id="rId8" Type="http://schemas.openxmlformats.org/officeDocument/2006/relationships/hyperlink" Target="http://docs.cntd.ru/document/420367708" TargetMode="External"/><Relationship Id="rId51" Type="http://schemas.openxmlformats.org/officeDocument/2006/relationships/hyperlink" Target="http://docs.cntd.ru/document/542610995" TargetMode="External"/><Relationship Id="rId72" Type="http://schemas.openxmlformats.org/officeDocument/2006/relationships/hyperlink" Target="http://docs.cntd.ru/document/551910948" TargetMode="External"/><Relationship Id="rId80" Type="http://schemas.openxmlformats.org/officeDocument/2006/relationships/hyperlink" Target="http://docs.cntd.ru/document/551910948" TargetMode="External"/><Relationship Id="rId85" Type="http://schemas.openxmlformats.org/officeDocument/2006/relationships/hyperlink" Target="http://docs.cntd.ru/document/420355007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713539" TargetMode="External"/><Relationship Id="rId17" Type="http://schemas.openxmlformats.org/officeDocument/2006/relationships/hyperlink" Target="http://docs.cntd.ru/document/551910948" TargetMode="External"/><Relationship Id="rId25" Type="http://schemas.openxmlformats.org/officeDocument/2006/relationships/hyperlink" Target="http://docs.cntd.ru/document/420385442" TargetMode="External"/><Relationship Id="rId33" Type="http://schemas.openxmlformats.org/officeDocument/2006/relationships/hyperlink" Target="http://docs.cntd.ru/document/420367708" TargetMode="External"/><Relationship Id="rId38" Type="http://schemas.openxmlformats.org/officeDocument/2006/relationships/hyperlink" Target="http://docs.cntd.ru/document/551910948" TargetMode="External"/><Relationship Id="rId46" Type="http://schemas.openxmlformats.org/officeDocument/2006/relationships/hyperlink" Target="http://docs.cntd.ru/document/902288206" TargetMode="External"/><Relationship Id="rId59" Type="http://schemas.openxmlformats.org/officeDocument/2006/relationships/hyperlink" Target="http://docs.cntd.ru/document/902320292" TargetMode="External"/><Relationship Id="rId67" Type="http://schemas.openxmlformats.org/officeDocument/2006/relationships/hyperlink" Target="http://docs.cntd.ru/document/551910948" TargetMode="External"/><Relationship Id="rId20" Type="http://schemas.openxmlformats.org/officeDocument/2006/relationships/hyperlink" Target="http://docs.cntd.ru/document/551910948" TargetMode="External"/><Relationship Id="rId41" Type="http://schemas.openxmlformats.org/officeDocument/2006/relationships/hyperlink" Target="http://docs.cntd.ru/document/542610995" TargetMode="External"/><Relationship Id="rId54" Type="http://schemas.openxmlformats.org/officeDocument/2006/relationships/hyperlink" Target="http://docs.cntd.ru/document/542610995" TargetMode="External"/><Relationship Id="rId62" Type="http://schemas.openxmlformats.org/officeDocument/2006/relationships/hyperlink" Target="http://docs.cntd.ru/document/420355007" TargetMode="External"/><Relationship Id="rId70" Type="http://schemas.openxmlformats.org/officeDocument/2006/relationships/hyperlink" Target="http://docs.cntd.ru/document/551910948" TargetMode="External"/><Relationship Id="rId75" Type="http://schemas.openxmlformats.org/officeDocument/2006/relationships/hyperlink" Target="http://docs.cntd.ru/document/542610995" TargetMode="External"/><Relationship Id="rId83" Type="http://schemas.openxmlformats.org/officeDocument/2006/relationships/hyperlink" Target="http://docs.cntd.ru/document/542610995" TargetMode="External"/><Relationship Id="rId88" Type="http://schemas.openxmlformats.org/officeDocument/2006/relationships/hyperlink" Target="http://docs.cntd.ru/document/420355007" TargetMode="External"/><Relationship Id="rId91" Type="http://schemas.openxmlformats.org/officeDocument/2006/relationships/hyperlink" Target="http://docs.cntd.ru/document/4203550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5007" TargetMode="External"/><Relationship Id="rId15" Type="http://schemas.openxmlformats.org/officeDocument/2006/relationships/hyperlink" Target="http://docs.cntd.ru/document/420355007" TargetMode="External"/><Relationship Id="rId23" Type="http://schemas.openxmlformats.org/officeDocument/2006/relationships/hyperlink" Target="http://docs.cntd.ru/document/901850788" TargetMode="External"/><Relationship Id="rId28" Type="http://schemas.openxmlformats.org/officeDocument/2006/relationships/hyperlink" Target="http://docs.cntd.ru/document/420355007" TargetMode="External"/><Relationship Id="rId36" Type="http://schemas.openxmlformats.org/officeDocument/2006/relationships/hyperlink" Target="http://docs.cntd.ru/document/542610995" TargetMode="External"/><Relationship Id="rId49" Type="http://schemas.openxmlformats.org/officeDocument/2006/relationships/hyperlink" Target="http://docs.cntd.ru/document/901850788" TargetMode="External"/><Relationship Id="rId57" Type="http://schemas.openxmlformats.org/officeDocument/2006/relationships/hyperlink" Target="http://docs.cntd.ru/document/420367708" TargetMode="External"/><Relationship Id="rId10" Type="http://schemas.openxmlformats.org/officeDocument/2006/relationships/hyperlink" Target="http://docs.cntd.ru/document/551184108" TargetMode="External"/><Relationship Id="rId31" Type="http://schemas.openxmlformats.org/officeDocument/2006/relationships/hyperlink" Target="http://docs.cntd.ru/document/902153699" TargetMode="External"/><Relationship Id="rId44" Type="http://schemas.openxmlformats.org/officeDocument/2006/relationships/hyperlink" Target="http://docs.cntd.ru/document/902208999" TargetMode="External"/><Relationship Id="rId52" Type="http://schemas.openxmlformats.org/officeDocument/2006/relationships/hyperlink" Target="http://docs.cntd.ru/document/901850788" TargetMode="External"/><Relationship Id="rId60" Type="http://schemas.openxmlformats.org/officeDocument/2006/relationships/hyperlink" Target="http://docs.cntd.ru/document/902381899" TargetMode="External"/><Relationship Id="rId65" Type="http://schemas.openxmlformats.org/officeDocument/2006/relationships/hyperlink" Target="http://docs.cntd.ru/document/551910948" TargetMode="External"/><Relationship Id="rId73" Type="http://schemas.openxmlformats.org/officeDocument/2006/relationships/hyperlink" Target="http://docs.cntd.ru/document/542610995" TargetMode="External"/><Relationship Id="rId78" Type="http://schemas.openxmlformats.org/officeDocument/2006/relationships/hyperlink" Target="http://docs.cntd.ru/document/902267197" TargetMode="External"/><Relationship Id="rId81" Type="http://schemas.openxmlformats.org/officeDocument/2006/relationships/hyperlink" Target="http://docs.cntd.ru/document/542610995" TargetMode="External"/><Relationship Id="rId86" Type="http://schemas.openxmlformats.org/officeDocument/2006/relationships/hyperlink" Target="http://docs.cntd.ru/document/420355007" TargetMode="External"/><Relationship Id="rId4" Type="http://schemas.openxmlformats.org/officeDocument/2006/relationships/hyperlink" Target="http://docs.cntd.ru/document/499025586" TargetMode="External"/><Relationship Id="rId9" Type="http://schemas.openxmlformats.org/officeDocument/2006/relationships/hyperlink" Target="http://docs.cntd.ru/document/542610995" TargetMode="External"/><Relationship Id="rId13" Type="http://schemas.openxmlformats.org/officeDocument/2006/relationships/hyperlink" Target="http://docs.cntd.ru/document/902353905" TargetMode="External"/><Relationship Id="rId18" Type="http://schemas.openxmlformats.org/officeDocument/2006/relationships/hyperlink" Target="http://docs.cntd.ru/document/551910948" TargetMode="External"/><Relationship Id="rId39" Type="http://schemas.openxmlformats.org/officeDocument/2006/relationships/hyperlink" Target="http://docs.cntd.ru/document/551910948" TargetMode="External"/><Relationship Id="rId34" Type="http://schemas.openxmlformats.org/officeDocument/2006/relationships/hyperlink" Target="http://docs.cntd.ru/document/420367708" TargetMode="External"/><Relationship Id="rId50" Type="http://schemas.openxmlformats.org/officeDocument/2006/relationships/hyperlink" Target="http://docs.cntd.ru/document/542610995" TargetMode="External"/><Relationship Id="rId55" Type="http://schemas.openxmlformats.org/officeDocument/2006/relationships/hyperlink" Target="http://docs.cntd.ru/document/420367708" TargetMode="External"/><Relationship Id="rId76" Type="http://schemas.openxmlformats.org/officeDocument/2006/relationships/hyperlink" Target="http://docs.cntd.ru/document/902153699" TargetMode="External"/><Relationship Id="rId7" Type="http://schemas.openxmlformats.org/officeDocument/2006/relationships/hyperlink" Target="http://docs.cntd.ru/document/420355007" TargetMode="External"/><Relationship Id="rId71" Type="http://schemas.openxmlformats.org/officeDocument/2006/relationships/hyperlink" Target="http://docs.cntd.ru/document/551910948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355007" TargetMode="External"/><Relationship Id="rId24" Type="http://schemas.openxmlformats.org/officeDocument/2006/relationships/hyperlink" Target="http://docs.cntd.ru/document/901850788" TargetMode="External"/><Relationship Id="rId40" Type="http://schemas.openxmlformats.org/officeDocument/2006/relationships/hyperlink" Target="http://docs.cntd.ru/document/542610995" TargetMode="External"/><Relationship Id="rId45" Type="http://schemas.openxmlformats.org/officeDocument/2006/relationships/hyperlink" Target="http://docs.cntd.ru/document/902237653" TargetMode="External"/><Relationship Id="rId66" Type="http://schemas.openxmlformats.org/officeDocument/2006/relationships/hyperlink" Target="http://docs.cntd.ru/document/420367708" TargetMode="External"/><Relationship Id="rId87" Type="http://schemas.openxmlformats.org/officeDocument/2006/relationships/hyperlink" Target="http://docs.cntd.ru/document/551910948" TargetMode="External"/><Relationship Id="rId61" Type="http://schemas.openxmlformats.org/officeDocument/2006/relationships/hyperlink" Target="http://docs.cntd.ru/document/542610995" TargetMode="External"/><Relationship Id="rId82" Type="http://schemas.openxmlformats.org/officeDocument/2006/relationships/hyperlink" Target="http://docs.cntd.ru/document/420367708" TargetMode="External"/><Relationship Id="rId19" Type="http://schemas.openxmlformats.org/officeDocument/2006/relationships/hyperlink" Target="http://docs.cntd.ru/document/551910948" TargetMode="External"/><Relationship Id="rId14" Type="http://schemas.openxmlformats.org/officeDocument/2006/relationships/hyperlink" Target="http://docs.cntd.ru/document/902353905" TargetMode="External"/><Relationship Id="rId30" Type="http://schemas.openxmlformats.org/officeDocument/2006/relationships/hyperlink" Target="http://docs.cntd.ru/document/902153699" TargetMode="External"/><Relationship Id="rId35" Type="http://schemas.openxmlformats.org/officeDocument/2006/relationships/hyperlink" Target="http://docs.cntd.ru/document/551910948" TargetMode="External"/><Relationship Id="rId56" Type="http://schemas.openxmlformats.org/officeDocument/2006/relationships/hyperlink" Target="http://docs.cntd.ru/document/499067392" TargetMode="External"/><Relationship Id="rId77" Type="http://schemas.openxmlformats.org/officeDocument/2006/relationships/hyperlink" Target="http://docs.cntd.ru/document/54261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</cp:revision>
  <dcterms:created xsi:type="dcterms:W3CDTF">2019-04-10T12:14:00Z</dcterms:created>
  <dcterms:modified xsi:type="dcterms:W3CDTF">2019-04-10T14:31:00Z</dcterms:modified>
</cp:coreProperties>
</file>