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AF" w:rsidRPr="000E1730" w:rsidRDefault="00EF4AAF" w:rsidP="00EF4AAF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</w:pP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О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некоторых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вопросах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реализации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Федерального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закона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"О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содействии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развитию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жилищного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строительства"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в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части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обеспечения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права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отдельных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категорий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граждан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на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приобретение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стандартного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жилья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(с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изменениями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на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5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июня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2018</w:t>
      </w:r>
      <w:r w:rsidR="00C54354"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 xml:space="preserve"> </w:t>
      </w:r>
      <w:r w:rsidRPr="000E1730">
        <w:rPr>
          <w:rFonts w:eastAsia="Times New Roman"/>
          <w:b/>
          <w:bCs/>
          <w:color w:val="2D2D2D"/>
          <w:spacing w:val="2"/>
          <w:kern w:val="36"/>
          <w:sz w:val="24"/>
          <w:lang w:eastAsia="ru-RU"/>
        </w:rPr>
        <w:t>года)</w:t>
      </w:r>
    </w:p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t>ПРАВИТЕЛЬСТВО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ФЕДЕРАЦИИ</w:t>
      </w:r>
    </w:p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t>ПОСТАНОВЛЕНИЕ</w:t>
      </w:r>
    </w:p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bookmarkStart w:id="0" w:name="_GoBack"/>
      <w:r w:rsidRPr="000E1730">
        <w:rPr>
          <w:rFonts w:eastAsia="Times New Roman"/>
          <w:color w:val="3C3C3C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25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октября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2012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1099</w:t>
      </w:r>
    </w:p>
    <w:bookmarkEnd w:id="0"/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t>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некоторых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вопросах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реализации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hyperlink r:id="rId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части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обеспечения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права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отдельных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категорий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*</w:t>
      </w:r>
    </w:p>
    <w:p w:rsidR="00EF4AAF" w:rsidRPr="000E1730" w:rsidRDefault="00EF4AAF" w:rsidP="00EF4AAF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изменениями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года)</w:t>
      </w: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____________________________________________________________________</w:t>
      </w: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Документ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изменениями,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внесенными: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марта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230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31.03.2014);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10.09.2014,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0001201409100024);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09.02.2015,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0001201502090022);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марта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13.03.2015,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0001201503130029);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15.02.2017,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0001201702150030);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1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(Официальный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интернет-портал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информации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www.pravo.gov.ru,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08.06.2018,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0001201806080006).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____________________________________________________________________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____________________________________________________________________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документ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марта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вносились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изменения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пункта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изменений,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которые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вносятся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нормативные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правовые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акты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октября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1090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hyperlink r:id="rId1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Пункт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изменений,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которые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вносятся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нормативные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правовые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акты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октября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1090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исключен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proofErr w:type="spellStart"/>
      <w:r w:rsidRPr="000E1730">
        <w:rPr>
          <w:rFonts w:eastAsia="Times New Roman"/>
          <w:color w:val="2D2D2D"/>
          <w:spacing w:val="2"/>
          <w:sz w:val="24"/>
          <w:lang w:eastAsia="ru-RU"/>
        </w:rPr>
        <w:t>годана</w:t>
      </w:r>
      <w:proofErr w:type="spellEnd"/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Примечание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изготовителя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базы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данных.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____________________________________________________________________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*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Наименование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(Преамбула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постановляет: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1.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Утвердить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прилагаемые: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перечень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отдельных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переданных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содействии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развитию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строительства";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1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форму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переданном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содействии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развитию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содержащую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состав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сведений,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включаемых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список.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1_1.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Установить,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что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перечень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настоящим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постановлением,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применяются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формирования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государственная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собственность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разграничена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осуществляет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распоряжение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законодательством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1_2.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понимаются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находящиеся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собственности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отношении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уполномоченным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межведомственным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коллегиальным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принято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решение,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предусмотренное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пунктом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lastRenderedPageBreak/>
          <w:t>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части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статьи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2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2.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Федеральному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агентству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жилищно-коммунальному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хозяйству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утвердить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методические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заполнению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настоящим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постановлением.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3.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Рекомендовать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законодательным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(представительным)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3-месячный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срок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принять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устанавливающие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правила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формирования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переданных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порядок,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частности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очередность,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эти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списки.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4.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Разъяснения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вопросам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применения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заполнения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настоящим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постановлением,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вправе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давать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Министерство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жилищно-коммунального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хозяйства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апреля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марта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230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Председатель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Правительства</w:t>
      </w:r>
    </w:p>
    <w:p w:rsidR="00EF4AAF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</w:p>
    <w:p w:rsidR="00EF4AAF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proofErr w:type="spellStart"/>
      <w:r w:rsidRPr="000E1730">
        <w:rPr>
          <w:rFonts w:eastAsia="Times New Roman"/>
          <w:color w:val="2D2D2D"/>
          <w:spacing w:val="2"/>
          <w:sz w:val="24"/>
          <w:lang w:eastAsia="ru-RU"/>
        </w:rPr>
        <w:t>Д.Медведев</w:t>
      </w:r>
      <w:proofErr w:type="spellEnd"/>
    </w:p>
    <w:p w:rsidR="00EF4AAF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t>Перечень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отдельных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категорий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оснований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включения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списки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участках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переданных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hyperlink r:id="rId3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*</w:t>
      </w:r>
    </w:p>
    <w:p w:rsidR="00EF4AAF" w:rsidRPr="000E1730" w:rsidRDefault="00EF4AAF" w:rsidP="00EF4AAF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изменениями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года)</w:t>
      </w:r>
    </w:p>
    <w:p w:rsidR="003812C3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________________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*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Наименование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lastRenderedPageBreak/>
        <w:t>1.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категориям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переданных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относятся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следующие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граждан: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br/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3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а)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состоящие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учете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качестве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нуждающихся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предоставляемых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договорам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найма,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основаниям,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статьей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51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кодекса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(или)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Президента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также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признанные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нуждающимися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предоставляемых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договорам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найма,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основаниям,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состоящие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учете;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а_1)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обеспеченность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площадью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расчете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каждого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совместно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проживающего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превышающей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максимального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нормативным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участника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программы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"Жилье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рамках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программы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"Обеспечение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доступным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комфортным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коммунальными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услугами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кв.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метров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расчете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человека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кв.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метров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одиноко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проживающего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гражданина),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случае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если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доходы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стоимость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имущества,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находящегося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собственности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(или)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подлежащего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налогообложению,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превышают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максимального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уровня,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нормативным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участника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программы;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б)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порядке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признано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непригодным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либо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многоквартирном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доме,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порядке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признан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аварийным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подлежащим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сносу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реконструкции,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в)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законодательством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законодательством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правовыми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актами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порядке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участниками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программ,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мероприятий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получение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выплат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(субсидий)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(строительство)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счет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средств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бюджетов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всех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уровней;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детей,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д)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ребенка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этом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возраст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каждого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супругов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либо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родителя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неполной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превышает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лет;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lastRenderedPageBreak/>
        <w:t>е)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участники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proofErr w:type="spellStart"/>
      <w:r w:rsidRPr="000E1730">
        <w:rPr>
          <w:rFonts w:eastAsia="Times New Roman"/>
          <w:color w:val="2D2D2D"/>
          <w:spacing w:val="2"/>
          <w:sz w:val="24"/>
          <w:lang w:eastAsia="ru-RU"/>
        </w:rPr>
        <w:t>накопительно</w:t>
      </w:r>
      <w:proofErr w:type="spellEnd"/>
      <w:r w:rsidRPr="000E1730">
        <w:rPr>
          <w:rFonts w:eastAsia="Times New Roman"/>
          <w:color w:val="2D2D2D"/>
          <w:spacing w:val="2"/>
          <w:sz w:val="24"/>
          <w:lang w:eastAsia="ru-RU"/>
        </w:rPr>
        <w:t>-ипотечной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системы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обеспечения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военнослужащих;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ж)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самоуправления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з)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учреждениях,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являющихся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обслуживания,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качестве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работников,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специалистов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работников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сферы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обслуживания,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образовательных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учреждениях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здравоохранения,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культуры,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защиты,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занятости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населения,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физической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культуры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спорта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марта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марта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См.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предыдущую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редакции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и)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градообразующих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входящих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состав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научно-производственных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proofErr w:type="spellStart"/>
      <w:r w:rsidRPr="000E1730">
        <w:rPr>
          <w:rFonts w:eastAsia="Times New Roman"/>
          <w:color w:val="2D2D2D"/>
          <w:spacing w:val="2"/>
          <w:sz w:val="24"/>
          <w:lang w:eastAsia="ru-RU"/>
        </w:rPr>
        <w:t>наукоградов</w:t>
      </w:r>
      <w:proofErr w:type="spellEnd"/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организационно-правовой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к)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оборонно-промышленного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порядке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сводный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реестр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оборонно-промышленного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организационно-правовой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л)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присвоен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статус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центров,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организационно-правовой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м)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созданных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академиями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наук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(за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исключением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сферы)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"з",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"и",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"л"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br/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н)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унитарных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предприятиях,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являющихся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обслуживания,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осуществляют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научную,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научно-техническую,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инновационную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деятельность,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экспериментальные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разработки,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испытания,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подготовку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кадров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приоритетным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направлениям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науки,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технологий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техники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Указом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Президента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2011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899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"и"-"м"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о)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участниках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программ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развития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пилотных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инновационных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территориальных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кластеров,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реализуемых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территориях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перечню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согласно</w:t>
      </w:r>
      <w:hyperlink r:id="rId48" w:history="1"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приложению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Правилам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распределения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предоставления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субсидий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из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бюджета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бюджетам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субъектов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реализацию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мероприятий,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предусмотренных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программами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пилотных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инновационных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территориальных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кластеров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lastRenderedPageBreak/>
        <w:t>утвержденным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4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марта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2013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188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"Об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утверждении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Правил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распределения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предоставления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субсидий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из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бюджета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бюджетам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субъектов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реализацию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мероприятий,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предусмотренных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программами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пилотных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инновационных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территориальных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кластеров"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п)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являющиеся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ветеранами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боевых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действий,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3812C3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р)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несовершеннолетних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детей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являющиеся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получателями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материнского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(семейного)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капитала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дополнительных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мерах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государственной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поддержки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семей,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имеющих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детей"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условии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использования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материнского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(семейного)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капитала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(строительство)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помещения;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являющиеся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инвалидами,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членами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являются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дети-инвалиды,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(Подпункт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2.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относящиеся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одновременно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нескольким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категориям,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включаются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земельных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участках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переданных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наличии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одновременно: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2017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172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а)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следующих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совокупности: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жилищно-строительного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кооператива,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созданного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обеспечения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жилыми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отдельных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5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законами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введении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в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действие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Земельного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кодекса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реализовал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жилья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июня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2018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653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EA7C77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lastRenderedPageBreak/>
        <w:t>общий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стаж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самоуправления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организациях,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"ж"-"н"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составляет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является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нанимателем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нанимателя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договору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найма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либо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собственником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собственника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этом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общая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площадь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учетом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площади,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приходящейся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каждого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члена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семьи)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превышает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общей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площади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рассчитанный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исходя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нормы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предоставления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площади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договору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социального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найма,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установленной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статьей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50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кодекса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более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квадратных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метров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либо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количество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комнат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(квартире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доме)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меньше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количества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если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семья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состоит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родителей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постоянно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проживающих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ними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зарегистрированных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совершеннолетних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детей,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состоящих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браке)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независимо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размеров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занимаемого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помещения;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б)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одного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из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следующих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оснований: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зарегистрирован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месту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жительства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жилом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помещении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территории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границах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проведен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аукцион,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предусмотренный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статьей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16_6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16_1-1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16_6-2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имеет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работы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(службы)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территории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границах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которого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проведен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аукцион,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предусмотренный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6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статьей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16_6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0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16_1-1</w:t>
        </w:r>
      </w:hyperlink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1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16_6-2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</w:p>
    <w:p w:rsidR="00EF4AAF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(Абзац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2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3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3.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предусмотренное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абзацем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четвертым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"а"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применяется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отношении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"а"-"е"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"о"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-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"с"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также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"ж"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замещающих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должности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категорий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"руководители"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"помощники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(советники)"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высшей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группы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должностей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службы,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службы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муниципальной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службы,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наличии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обращения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руководителя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федерального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государственной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власти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субъекта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органа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местного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самоуправления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гражданина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списки,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перечня.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4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5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февраля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2015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100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</w:p>
    <w:p w:rsidR="00367D46" w:rsidRP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lastRenderedPageBreak/>
        <w:t>4.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Основание,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предусмотренное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абзацем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пятым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"а"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применяется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отношении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указанных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подпункте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"а_1"пункта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настоящего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перечня.</w:t>
      </w:r>
    </w:p>
    <w:p w:rsidR="000E1730" w:rsidRDefault="00EF4AAF" w:rsidP="000E1730">
      <w:pPr>
        <w:shd w:val="clear" w:color="auto" w:fill="FFFFFF"/>
        <w:spacing w:line="315" w:lineRule="atLeast"/>
        <w:ind w:firstLine="567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(Пункт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дополнительно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включен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6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постановлением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Правительства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Российской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Федерации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от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6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сентября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2014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года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N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912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0E1730" w:rsidRDefault="000E1730">
      <w:pPr>
        <w:rPr>
          <w:rFonts w:eastAsia="Times New Roman"/>
          <w:color w:val="3C3C3C"/>
          <w:spacing w:val="2"/>
          <w:sz w:val="24"/>
          <w:lang w:eastAsia="ru-RU"/>
        </w:rPr>
      </w:pPr>
      <w:r>
        <w:rPr>
          <w:rFonts w:eastAsia="Times New Roman"/>
          <w:color w:val="3C3C3C"/>
          <w:spacing w:val="2"/>
          <w:sz w:val="24"/>
          <w:lang w:eastAsia="ru-RU"/>
        </w:rPr>
        <w:br w:type="page"/>
      </w:r>
    </w:p>
    <w:p w:rsidR="00EF4AAF" w:rsidRPr="000E1730" w:rsidRDefault="00EF4AAF" w:rsidP="00EF4AAF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lastRenderedPageBreak/>
        <w:t>Форма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списка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земельном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участке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переданном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...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УТВЕРЖДЕНА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постановлением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Правительства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Российской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Федерации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от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октября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2012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N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1099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</w:t>
      </w:r>
      <w:proofErr w:type="gramStart"/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proofErr w:type="gramEnd"/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сентября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2014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begin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instrText xml:space="preserve"> HYPERLINK "http://docs.cntd.ru/document/420219712" </w:instrTex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separate"/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постановлением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Правительства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Российской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Федерации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от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6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сентября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2014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года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N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912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end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2015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begin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instrText xml:space="preserve"> HYPERLINK "http://docs.cntd.ru/document/420251752" </w:instrTex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separate"/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постановлением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Правительства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Российской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Федерации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от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4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февраля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2015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года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N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100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end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23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февраля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2017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begin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instrText xml:space="preserve"> HYPERLINK "http://docs.cntd.ru/document/420391919" </w:instrTex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separate"/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постановлением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Правительства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Российской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Федерации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от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10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февраля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2017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года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N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172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end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;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(</w:t>
      </w:r>
      <w:proofErr w:type="gramStart"/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proofErr w:type="gramEnd"/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редакции,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введенной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действие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16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июня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2018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года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begin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instrText xml:space="preserve"> HYPERLINK "http://docs.cntd.ru/document/557632843" </w:instrTex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separate"/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постановлением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Правительства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00466E"/>
          <w:spacing w:val="2"/>
          <w:sz w:val="24"/>
          <w:u w:val="single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Российской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Федерации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от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5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июня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2018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года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N</w:t>
      </w:r>
      <w:r w:rsidR="00C54354"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 xml:space="preserve"> </w:t>
      </w:r>
      <w:r w:rsidRPr="000E1730">
        <w:rPr>
          <w:rFonts w:eastAsia="Times New Roman"/>
          <w:color w:val="00466E"/>
          <w:spacing w:val="2"/>
          <w:sz w:val="24"/>
          <w:u w:val="single"/>
          <w:lang w:eastAsia="ru-RU"/>
        </w:rPr>
        <w:t>653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fldChar w:fldCharType="end"/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="00367D46" w:rsidRPr="000E1730">
        <w:rPr>
          <w:rFonts w:eastAsia="Times New Roman"/>
          <w:color w:val="2D2D2D"/>
          <w:spacing w:val="2"/>
          <w:sz w:val="24"/>
          <w:lang w:eastAsia="ru-RU"/>
        </w:rPr>
        <w:t>–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</w:p>
    <w:p w:rsidR="00367D46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См.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hyperlink r:id="rId77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предыдущую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редакцию</w:t>
        </w:r>
      </w:hyperlink>
      <w:r w:rsidRPr="000E1730">
        <w:rPr>
          <w:rFonts w:eastAsia="Times New Roman"/>
          <w:color w:val="2D2D2D"/>
          <w:spacing w:val="2"/>
          <w:sz w:val="24"/>
          <w:lang w:eastAsia="ru-RU"/>
        </w:rPr>
        <w:t>)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</w:p>
    <w:p w:rsidR="00EF4AAF" w:rsidRPr="000E1730" w:rsidRDefault="00EF4AAF" w:rsidP="00EF4AA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0E1730" w:rsidRDefault="000E1730">
      <w:pPr>
        <w:rPr>
          <w:rFonts w:eastAsia="Times New Roman"/>
          <w:color w:val="3C3C3C"/>
          <w:spacing w:val="2"/>
          <w:sz w:val="24"/>
          <w:lang w:eastAsia="ru-RU"/>
        </w:rPr>
      </w:pPr>
      <w:r>
        <w:rPr>
          <w:rFonts w:eastAsia="Times New Roman"/>
          <w:color w:val="3C3C3C"/>
          <w:spacing w:val="2"/>
          <w:sz w:val="24"/>
          <w:lang w:eastAsia="ru-RU"/>
        </w:rPr>
        <w:br w:type="page"/>
      </w:r>
    </w:p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lastRenderedPageBreak/>
        <w:t>Форма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списка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земельном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участке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переданном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безвозмездное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срочное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пользование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аренду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hyperlink r:id="rId78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  <w:r w:rsidRPr="000E1730">
        <w:rPr>
          <w:rFonts w:eastAsia="Times New Roman"/>
          <w:color w:val="3C3C3C"/>
          <w:spacing w:val="2"/>
          <w:sz w:val="24"/>
          <w:lang w:eastAsia="ru-RU"/>
        </w:rPr>
        <w:t>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содержащая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состав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сведений,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включаемых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указанный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список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 </w:t>
      </w:r>
    </w:p>
    <w:tbl>
      <w:tblPr>
        <w:tblpPr w:leftFromText="45" w:rightFromText="45" w:vertAnchor="text" w:horzAnchor="margin" w:tblpXSpec="right" w:tblpY="2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96"/>
        <w:gridCol w:w="370"/>
        <w:gridCol w:w="396"/>
        <w:gridCol w:w="1294"/>
        <w:gridCol w:w="554"/>
        <w:gridCol w:w="554"/>
        <w:gridCol w:w="554"/>
      </w:tblGrid>
      <w:tr w:rsidR="00367D46" w:rsidRPr="000E1730" w:rsidTr="00367D46">
        <w:trPr>
          <w:trHeight w:val="15"/>
        </w:trPr>
        <w:tc>
          <w:tcPr>
            <w:tcW w:w="2587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pacing w:val="2"/>
                <w:sz w:val="24"/>
                <w:lang w:eastAsia="ru-RU"/>
              </w:rPr>
            </w:pPr>
          </w:p>
        </w:tc>
        <w:tc>
          <w:tcPr>
            <w:tcW w:w="396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6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367D46" w:rsidRPr="000E1730" w:rsidTr="00367D46"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УТВЕРЖДАЮ</w:t>
            </w:r>
          </w:p>
        </w:tc>
      </w:tr>
      <w:tr w:rsidR="00367D46" w:rsidRPr="000E1730" w:rsidTr="00367D46"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глава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муниципального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образования</w:t>
            </w:r>
          </w:p>
        </w:tc>
      </w:tr>
      <w:tr w:rsidR="00367D46" w:rsidRPr="000E1730" w:rsidTr="00367D46">
        <w:tc>
          <w:tcPr>
            <w:tcW w:w="67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367D46" w:rsidRPr="000E1730" w:rsidTr="00367D46">
        <w:tc>
          <w:tcPr>
            <w:tcW w:w="670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C54354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(наименование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муниципального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образования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субъекта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Российской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Федерации,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территории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которого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проведен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аукцион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заключения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договора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безвозмездного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срочного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пользования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или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аренды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акционерного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общества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"ДОМ.РФ")</w:t>
            </w:r>
          </w:p>
        </w:tc>
      </w:tr>
      <w:tr w:rsidR="00367D46" w:rsidRPr="000E1730" w:rsidTr="00367D46">
        <w:tc>
          <w:tcPr>
            <w:tcW w:w="29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(подпись,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расшифровка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подписи)</w:t>
            </w:r>
          </w:p>
        </w:tc>
      </w:tr>
      <w:tr w:rsidR="00367D46" w:rsidRPr="000E1730" w:rsidTr="00367D46"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367D46" w:rsidRPr="000E1730" w:rsidTr="00367D46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г.</w:t>
            </w:r>
          </w:p>
        </w:tc>
      </w:tr>
      <w:tr w:rsidR="00367D46" w:rsidRPr="000E1730" w:rsidTr="00367D46"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367D46" w:rsidRPr="000E1730" w:rsidTr="00367D46"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spacing w:line="315" w:lineRule="atLeast"/>
              <w:jc w:val="righ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МП</w:t>
            </w: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7D46" w:rsidRPr="000E1730" w:rsidRDefault="00367D46" w:rsidP="00367D46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</w:tbl>
    <w:p w:rsidR="00367D46" w:rsidRPr="000E1730" w:rsidRDefault="00367D46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367D46" w:rsidRPr="000E1730" w:rsidRDefault="00367D46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4"/>
          <w:lang w:eastAsia="ru-RU"/>
        </w:rPr>
      </w:pPr>
      <w:r w:rsidRPr="000E1730">
        <w:rPr>
          <w:rFonts w:eastAsia="Times New Roman"/>
          <w:color w:val="3C3C3C"/>
          <w:spacing w:val="2"/>
          <w:sz w:val="24"/>
          <w:lang w:eastAsia="ru-RU"/>
        </w:rPr>
        <w:t>Список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граждан,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имеющих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право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приобретение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построенного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или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строящегося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на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земельном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участке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акционерного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общества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"ДОМ.РФ",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переданном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стандартного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том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числе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для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его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комплексного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освоения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целях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строительства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такого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жилья,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в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соответствии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3C3C3C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3C3C3C"/>
          <w:spacing w:val="2"/>
          <w:sz w:val="24"/>
          <w:lang w:eastAsia="ru-RU"/>
        </w:rPr>
        <w:t xml:space="preserve"> </w:t>
      </w:r>
      <w:hyperlink r:id="rId79" w:history="1"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Федеральным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законом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"О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содействии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развитию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жилищного</w:t>
        </w:r>
        <w:r w:rsidR="00C54354"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 xml:space="preserve"> </w:t>
        </w:r>
        <w:r w:rsidRPr="000E1730">
          <w:rPr>
            <w:rFonts w:eastAsia="Times New Roman"/>
            <w:color w:val="00466E"/>
            <w:spacing w:val="2"/>
            <w:sz w:val="24"/>
            <w:u w:val="single"/>
            <w:lang w:eastAsia="ru-RU"/>
          </w:rPr>
          <w:t>строительства"</w:t>
        </w:r>
      </w:hyperlink>
    </w:p>
    <w:p w:rsidR="00367D46" w:rsidRPr="000E1730" w:rsidRDefault="00367D46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436"/>
        <w:gridCol w:w="150"/>
        <w:gridCol w:w="161"/>
        <w:gridCol w:w="5153"/>
      </w:tblGrid>
      <w:tr w:rsidR="00EF4AAF" w:rsidRPr="000E1730" w:rsidTr="00EF4AAF">
        <w:trPr>
          <w:trHeight w:val="15"/>
        </w:trPr>
        <w:tc>
          <w:tcPr>
            <w:tcW w:w="3881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pacing w:val="2"/>
                <w:sz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Местоположение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(указывается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свидетельством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государственной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регистрации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права)</w:t>
            </w:r>
          </w:p>
        </w:tc>
      </w:tr>
      <w:tr w:rsidR="00EF4AAF" w:rsidRPr="000E1730" w:rsidTr="00EF4AA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Площадь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(указывается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свидетельством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государственной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регистрации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права)</w:t>
            </w:r>
          </w:p>
        </w:tc>
      </w:tr>
      <w:tr w:rsidR="00EF4AAF" w:rsidRPr="000E1730" w:rsidTr="00EF4AAF"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Кадастровый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номер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(указывается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свидетельством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государственной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регистрации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права)</w:t>
            </w: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Полное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наименование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застройщика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-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победителя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аукциона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заключения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договора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безвозмездного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срочного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пользования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или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аренды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(нужное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подчеркнуть)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акционерного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общества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"ДОМ.РФ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</w:t>
            </w: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lastRenderedPageBreak/>
              <w:t>(указывается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учредительными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документами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(для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юридических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лиц),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документом,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удостоверяющим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личность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(для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физических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лиц)</w:t>
            </w: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Дата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проведения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аукциона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право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заключения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договора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безвозмездного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срочного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пользования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или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аренды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(нужное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подчеркнуть)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земельного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участка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акционерного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общества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"ДОМ.РФ"</w:t>
            </w: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EF4AAF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(указываются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реквизиты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протокола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об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итогах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аукциона)</w:t>
            </w:r>
          </w:p>
        </w:tc>
      </w:tr>
    </w:tbl>
    <w:p w:rsidR="00367D46" w:rsidRPr="000E1730" w:rsidRDefault="00367D46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063"/>
        <w:gridCol w:w="549"/>
        <w:gridCol w:w="749"/>
        <w:gridCol w:w="1018"/>
        <w:gridCol w:w="937"/>
        <w:gridCol w:w="992"/>
        <w:gridCol w:w="992"/>
        <w:gridCol w:w="806"/>
        <w:gridCol w:w="836"/>
        <w:gridCol w:w="1011"/>
      </w:tblGrid>
      <w:tr w:rsidR="00367D46" w:rsidRPr="000E1730" w:rsidTr="00EF4AAF">
        <w:trPr>
          <w:trHeight w:val="15"/>
        </w:trPr>
        <w:tc>
          <w:tcPr>
            <w:tcW w:w="554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AAF" w:rsidRPr="000E1730" w:rsidTr="00EF4A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N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Личные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данные,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семейное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положение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Категория,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которой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отнесен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гражданин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работе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(службе)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гражданина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(кроме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военнослужащих)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жилом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помещении,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котором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проживает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гражданин</w:t>
            </w:r>
          </w:p>
        </w:tc>
      </w:tr>
      <w:tr w:rsidR="00367D46" w:rsidRPr="000E1730" w:rsidTr="00EF4AA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ф.и.о.</w:t>
            </w:r>
            <w:proofErr w:type="spellEnd"/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состав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продолжитель</w:t>
            </w:r>
            <w:proofErr w:type="spellEnd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основные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статус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организаций,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общая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площадь,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качест</w:t>
            </w:r>
            <w:proofErr w:type="spellEnd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367D46" w:rsidRPr="000E1730" w:rsidTr="00EF4AA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основного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документа,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удостоверяющего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личность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органа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власти,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органа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самоуп</w:t>
            </w:r>
            <w:r w:rsidR="00367D46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равления,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367D46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организа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ность</w:t>
            </w:r>
            <w:proofErr w:type="spellEnd"/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стажа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основному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месту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работы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(службы)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деятельности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организаций,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указанных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80" w:history="1">
              <w:proofErr w:type="spellStart"/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подпунк</w:t>
              </w:r>
              <w:proofErr w:type="spellEnd"/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тах</w:t>
              </w:r>
              <w:proofErr w:type="spellEnd"/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"з"</w:t>
              </w:r>
            </w:hyperlink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"н"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пункта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перечня,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утвержденного</w:t>
            </w:r>
            <w:hyperlink r:id="rId81" w:history="1"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</w:t>
              </w:r>
              <w:r w:rsidR="00367D46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лением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367D46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Прави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тельства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Российской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Федерации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25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октября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2012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года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1099</w:t>
              </w:r>
            </w:hyperlink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согласно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уставу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(положению)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указанных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подпунктах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"и"-"м"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"о"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пункта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перечня,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утвержденного</w:t>
            </w:r>
            <w:hyperlink r:id="rId82" w:history="1"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Правительства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Российской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Федерации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25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октября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2012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года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C54354"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1099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количество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комнат,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проживание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составе2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более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пользования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жилым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помещением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венных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характеристиках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жилого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помещения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(непригодность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4B5C82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проживания,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4B5C82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аварий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ность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др.)</w:t>
            </w:r>
          </w:p>
        </w:tc>
      </w:tr>
      <w:tr w:rsidR="00367D46" w:rsidRPr="000E1730" w:rsidTr="00EF4A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367D46" w:rsidRPr="000E1730" w:rsidTr="00EF4A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7D46" w:rsidRPr="000E1730" w:rsidTr="00EF4A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53"/>
        <w:gridCol w:w="1250"/>
        <w:gridCol w:w="1342"/>
        <w:gridCol w:w="1480"/>
        <w:gridCol w:w="1135"/>
        <w:gridCol w:w="1135"/>
        <w:gridCol w:w="1438"/>
      </w:tblGrid>
      <w:tr w:rsidR="00EF4AAF" w:rsidRPr="000E1730" w:rsidTr="00EF4AAF">
        <w:trPr>
          <w:trHeight w:val="15"/>
        </w:trPr>
        <w:tc>
          <w:tcPr>
            <w:tcW w:w="184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pacing w:val="2"/>
                <w:sz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</w:tr>
      <w:tr w:rsidR="00EF4AAF" w:rsidRPr="000E1730" w:rsidTr="00EF4AA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постановке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учет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качестве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нуждающегося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жилом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помещении,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признании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нуждающимся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жилых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реализации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права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строительство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(или)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приобретение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стандартного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жилья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hyperlink r:id="rId83" w:history="1"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статьями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16_5</w:t>
              </w:r>
            </w:hyperlink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-</w:t>
            </w:r>
            <w:hyperlink r:id="rId84" w:history="1"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16_6-2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Федерального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закона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"О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содействии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развитию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жилищного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строительства"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наличии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права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получение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социальных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выплат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(субсидий)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на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приобретение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(строительство)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жилых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за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счет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средств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Площадь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помещения,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которое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может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быть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приобретено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гражданином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hyperlink r:id="rId85" w:history="1"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частью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6_9</w:t>
              </w:r>
            </w:hyperlink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hyperlink r:id="rId86" w:history="1"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статьи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11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Федерального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закона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"О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содействии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развитию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жилищного</w:t>
              </w:r>
              <w:r w:rsidR="00C54354"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 xml:space="preserve"> </w:t>
              </w:r>
              <w:r w:rsidRPr="000E1730">
                <w:rPr>
                  <w:rFonts w:eastAsia="Times New Roman"/>
                  <w:color w:val="00466E"/>
                  <w:sz w:val="20"/>
                  <w:u w:val="single"/>
                  <w:lang w:eastAsia="ru-RU"/>
                </w:rPr>
                <w:t>строительства"</w:t>
              </w:r>
            </w:hyperlink>
          </w:p>
        </w:tc>
      </w:tr>
      <w:tr w:rsidR="00EF4AAF" w:rsidRPr="000E1730" w:rsidTr="00EF4AA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помещениях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(реквизиты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решения)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C54354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ведения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о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том,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является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ли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членом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жилищно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-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строительного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="00EF4AAF" w:rsidRPr="000E1730">
              <w:rPr>
                <w:rFonts w:eastAsia="Times New Roman"/>
                <w:color w:val="2D2D2D"/>
                <w:sz w:val="20"/>
                <w:lang w:eastAsia="ru-RU"/>
              </w:rPr>
              <w:t>кооператива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сведения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приобретении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гражданином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стандартного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жилья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бюджетов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всех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уровней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(реквизиты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решения)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тип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(квартира,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дом)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указанием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количества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комнат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общая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площадь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описание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жилого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помещения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соответствии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утвержденной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в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установленном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порядке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проектной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документацией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объекта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капитального</w:t>
            </w:r>
            <w:r w:rsidR="00C54354" w:rsidRPr="000E1730">
              <w:rPr>
                <w:rFonts w:eastAsia="Times New Roman"/>
                <w:color w:val="2D2D2D"/>
                <w:sz w:val="20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строительства</w:t>
            </w:r>
          </w:p>
        </w:tc>
      </w:tr>
      <w:tr w:rsidR="00EF4AAF" w:rsidRPr="000E1730" w:rsidTr="00EF4AAF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center"/>
              <w:textAlignment w:val="baseline"/>
              <w:rPr>
                <w:rFonts w:eastAsia="Times New Roman"/>
                <w:color w:val="2D2D2D"/>
                <w:sz w:val="20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0"/>
                <w:lang w:eastAsia="ru-RU"/>
              </w:rPr>
              <w:t>18</w:t>
            </w:r>
          </w:p>
        </w:tc>
      </w:tr>
      <w:tr w:rsidR="00EF4AAF" w:rsidRPr="000E1730" w:rsidTr="00EF4AAF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color w:val="2D2D2D"/>
                <w:sz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</w:tr>
      <w:tr w:rsidR="00EF4AAF" w:rsidRPr="000E1730" w:rsidTr="00EF4AAF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4AAF" w:rsidRPr="000E1730" w:rsidRDefault="00EF4AAF" w:rsidP="000E1730">
            <w:pPr>
              <w:jc w:val="lef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C54354" w:rsidRPr="000E1730" w:rsidRDefault="00C54354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48"/>
        <w:gridCol w:w="2160"/>
        <w:gridCol w:w="951"/>
        <w:gridCol w:w="357"/>
        <w:gridCol w:w="1959"/>
        <w:gridCol w:w="551"/>
        <w:gridCol w:w="357"/>
        <w:gridCol w:w="981"/>
      </w:tblGrid>
      <w:tr w:rsidR="00EF4AAF" w:rsidRPr="000E1730" w:rsidTr="00C54354">
        <w:trPr>
          <w:trHeight w:val="15"/>
        </w:trPr>
        <w:tc>
          <w:tcPr>
            <w:tcW w:w="1291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pacing w:val="2"/>
                <w:sz w:val="24"/>
                <w:lang w:eastAsia="ru-RU"/>
              </w:rPr>
            </w:pPr>
          </w:p>
        </w:tc>
        <w:tc>
          <w:tcPr>
            <w:tcW w:w="748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60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51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7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59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1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57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81" w:type="dxa"/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EF4AAF" w:rsidRPr="000E1730" w:rsidTr="00C54354"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Список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составлен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г.</w:t>
            </w:r>
          </w:p>
        </w:tc>
      </w:tr>
      <w:tr w:rsidR="00EF4AAF" w:rsidRPr="000E1730" w:rsidTr="00C54354"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</w:t>
            </w:r>
            <w:proofErr w:type="spellStart"/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ф.и.о.</w:t>
            </w:r>
            <w:proofErr w:type="spellEnd"/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,</w:t>
            </w:r>
            <w:r w:rsidR="00C54354" w:rsidRPr="000E1730">
              <w:rPr>
                <w:rFonts w:eastAsia="Times New Roman"/>
                <w:color w:val="2D2D2D"/>
                <w:sz w:val="24"/>
                <w:lang w:eastAsia="ru-RU"/>
              </w:rPr>
              <w:t xml:space="preserve"> </w:t>
            </w: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должность)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(дата)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</w:tr>
      <w:tr w:rsidR="00EF4AAF" w:rsidRPr="000E1730" w:rsidTr="00C54354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  <w:tr w:rsidR="00EF4AAF" w:rsidRPr="000E1730" w:rsidTr="00C54354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z w:val="24"/>
                <w:lang w:eastAsia="ru-RU"/>
              </w:rPr>
            </w:pPr>
            <w:r w:rsidRPr="000E1730">
              <w:rPr>
                <w:rFonts w:eastAsia="Times New Roman"/>
                <w:color w:val="2D2D2D"/>
                <w:sz w:val="24"/>
                <w:lang w:eastAsia="ru-RU"/>
              </w:rPr>
              <w:t>Подпись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color w:val="2D2D2D"/>
                <w:sz w:val="24"/>
                <w:lang w:eastAsia="ru-RU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AAF" w:rsidRPr="000E1730" w:rsidRDefault="00EF4AAF" w:rsidP="00EF4AAF">
            <w:pPr>
              <w:jc w:val="left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C54354" w:rsidRPr="000E1730" w:rsidRDefault="00C54354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C54354" w:rsidRPr="000E1730" w:rsidRDefault="00C54354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</w:p>
    <w:p w:rsidR="00C54354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Редакция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документа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с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учетом</w:t>
      </w:r>
    </w:p>
    <w:p w:rsidR="00C54354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изменений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и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дополнений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подготовлена</w:t>
      </w:r>
    </w:p>
    <w:p w:rsidR="00EF4AAF" w:rsidRPr="000E1730" w:rsidRDefault="00EF4AAF" w:rsidP="00EF4AA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lang w:eastAsia="ru-RU"/>
        </w:rPr>
      </w:pPr>
      <w:r w:rsidRPr="000E1730">
        <w:rPr>
          <w:rFonts w:eastAsia="Times New Roman"/>
          <w:color w:val="2D2D2D"/>
          <w:spacing w:val="2"/>
          <w:sz w:val="24"/>
          <w:lang w:eastAsia="ru-RU"/>
        </w:rPr>
        <w:t>АО</w:t>
      </w:r>
      <w:r w:rsidR="00C54354" w:rsidRPr="000E1730">
        <w:rPr>
          <w:rFonts w:eastAsia="Times New Roman"/>
          <w:color w:val="2D2D2D"/>
          <w:spacing w:val="2"/>
          <w:sz w:val="24"/>
          <w:lang w:eastAsia="ru-RU"/>
        </w:rPr>
        <w:t xml:space="preserve"> </w:t>
      </w:r>
      <w:r w:rsidRPr="000E1730">
        <w:rPr>
          <w:rFonts w:eastAsia="Times New Roman"/>
          <w:color w:val="2D2D2D"/>
          <w:spacing w:val="2"/>
          <w:sz w:val="24"/>
          <w:lang w:eastAsia="ru-RU"/>
        </w:rPr>
        <w:t>"Кодекс"</w:t>
      </w:r>
    </w:p>
    <w:p w:rsidR="00C75E27" w:rsidRPr="000E1730" w:rsidRDefault="00C75E27">
      <w:pPr>
        <w:rPr>
          <w:sz w:val="24"/>
        </w:rPr>
      </w:pPr>
    </w:p>
    <w:sectPr w:rsidR="00C75E27" w:rsidRPr="000E1730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AF"/>
    <w:rsid w:val="000E1730"/>
    <w:rsid w:val="00367D46"/>
    <w:rsid w:val="003812C3"/>
    <w:rsid w:val="004B5C82"/>
    <w:rsid w:val="008B4879"/>
    <w:rsid w:val="009F09D4"/>
    <w:rsid w:val="00C54354"/>
    <w:rsid w:val="00C75E27"/>
    <w:rsid w:val="00EA7C77"/>
    <w:rsid w:val="00E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53AA"/>
  <w15:chartTrackingRefBased/>
  <w15:docId w15:val="{1C684704-FBA6-4947-989C-E373C10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AA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AA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A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AAF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F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7664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17875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28308" TargetMode="External"/><Relationship Id="rId18" Type="http://schemas.openxmlformats.org/officeDocument/2006/relationships/hyperlink" Target="http://docs.cntd.ru/document/420219712" TargetMode="External"/><Relationship Id="rId26" Type="http://schemas.openxmlformats.org/officeDocument/2006/relationships/hyperlink" Target="http://docs.cntd.ru/document/902111774" TargetMode="External"/><Relationship Id="rId39" Type="http://schemas.openxmlformats.org/officeDocument/2006/relationships/hyperlink" Target="http://docs.cntd.ru/document/557632843" TargetMode="External"/><Relationship Id="rId21" Type="http://schemas.openxmlformats.org/officeDocument/2006/relationships/hyperlink" Target="http://docs.cntd.ru/document/420391919" TargetMode="External"/><Relationship Id="rId34" Type="http://schemas.openxmlformats.org/officeDocument/2006/relationships/hyperlink" Target="http://docs.cntd.ru/document/902111774" TargetMode="External"/><Relationship Id="rId42" Type="http://schemas.openxmlformats.org/officeDocument/2006/relationships/hyperlink" Target="http://docs.cntd.ru/document/420219712" TargetMode="External"/><Relationship Id="rId47" Type="http://schemas.openxmlformats.org/officeDocument/2006/relationships/hyperlink" Target="http://docs.cntd.ru/document/902287707" TargetMode="External"/><Relationship Id="rId50" Type="http://schemas.openxmlformats.org/officeDocument/2006/relationships/hyperlink" Target="http://docs.cntd.ru/document/420219712" TargetMode="External"/><Relationship Id="rId55" Type="http://schemas.openxmlformats.org/officeDocument/2006/relationships/hyperlink" Target="http://docs.cntd.ru/document/420251752" TargetMode="External"/><Relationship Id="rId63" Type="http://schemas.openxmlformats.org/officeDocument/2006/relationships/hyperlink" Target="http://docs.cntd.ru/document/901919946" TargetMode="External"/><Relationship Id="rId68" Type="http://schemas.openxmlformats.org/officeDocument/2006/relationships/hyperlink" Target="http://docs.cntd.ru/document/420251752" TargetMode="External"/><Relationship Id="rId76" Type="http://schemas.openxmlformats.org/officeDocument/2006/relationships/hyperlink" Target="http://docs.cntd.ru/document/420219712" TargetMode="External"/><Relationship Id="rId84" Type="http://schemas.openxmlformats.org/officeDocument/2006/relationships/hyperlink" Target="http://docs.cntd.ru/document/902111774" TargetMode="External"/><Relationship Id="rId7" Type="http://schemas.openxmlformats.org/officeDocument/2006/relationships/hyperlink" Target="http://docs.cntd.ru/document/420251752" TargetMode="External"/><Relationship Id="rId71" Type="http://schemas.openxmlformats.org/officeDocument/2006/relationships/hyperlink" Target="http://docs.cntd.ru/document/9021117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7632843" TargetMode="External"/><Relationship Id="rId29" Type="http://schemas.openxmlformats.org/officeDocument/2006/relationships/hyperlink" Target="http://docs.cntd.ru/document/557632843" TargetMode="External"/><Relationship Id="rId11" Type="http://schemas.openxmlformats.org/officeDocument/2006/relationships/hyperlink" Target="http://docs.cntd.ru/document/420228308" TargetMode="External"/><Relationship Id="rId24" Type="http://schemas.openxmlformats.org/officeDocument/2006/relationships/hyperlink" Target="http://docs.cntd.ru/document/420391919" TargetMode="External"/><Relationship Id="rId32" Type="http://schemas.openxmlformats.org/officeDocument/2006/relationships/hyperlink" Target="http://docs.cntd.ru/document/557632843" TargetMode="External"/><Relationship Id="rId37" Type="http://schemas.openxmlformats.org/officeDocument/2006/relationships/hyperlink" Target="http://docs.cntd.ru/document/902111774" TargetMode="External"/><Relationship Id="rId40" Type="http://schemas.openxmlformats.org/officeDocument/2006/relationships/hyperlink" Target="http://docs.cntd.ru/document/901919946" TargetMode="External"/><Relationship Id="rId45" Type="http://schemas.openxmlformats.org/officeDocument/2006/relationships/hyperlink" Target="http://docs.cntd.ru/document/420219712" TargetMode="External"/><Relationship Id="rId53" Type="http://schemas.openxmlformats.org/officeDocument/2006/relationships/hyperlink" Target="http://docs.cntd.ru/document/420219712" TargetMode="External"/><Relationship Id="rId58" Type="http://schemas.openxmlformats.org/officeDocument/2006/relationships/hyperlink" Target="http://docs.cntd.ru/document/557632843" TargetMode="External"/><Relationship Id="rId66" Type="http://schemas.openxmlformats.org/officeDocument/2006/relationships/hyperlink" Target="http://docs.cntd.ru/document/902111774" TargetMode="External"/><Relationship Id="rId74" Type="http://schemas.openxmlformats.org/officeDocument/2006/relationships/hyperlink" Target="http://docs.cntd.ru/document/420219712" TargetMode="External"/><Relationship Id="rId79" Type="http://schemas.openxmlformats.org/officeDocument/2006/relationships/hyperlink" Target="http://docs.cntd.ru/document/902111774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docs.cntd.ru/document/499085462" TargetMode="External"/><Relationship Id="rId61" Type="http://schemas.openxmlformats.org/officeDocument/2006/relationships/hyperlink" Target="http://docs.cntd.ru/document/902111774" TargetMode="External"/><Relationship Id="rId82" Type="http://schemas.openxmlformats.org/officeDocument/2006/relationships/hyperlink" Target="http://docs.cntd.ru/document/902376691" TargetMode="External"/><Relationship Id="rId19" Type="http://schemas.openxmlformats.org/officeDocument/2006/relationships/hyperlink" Target="http://docs.cntd.ru/document/420391919" TargetMode="External"/><Relationship Id="rId4" Type="http://schemas.openxmlformats.org/officeDocument/2006/relationships/hyperlink" Target="http://docs.cntd.ru/document/902111774" TargetMode="External"/><Relationship Id="rId9" Type="http://schemas.openxmlformats.org/officeDocument/2006/relationships/hyperlink" Target="http://docs.cntd.ru/document/420391919" TargetMode="External"/><Relationship Id="rId14" Type="http://schemas.openxmlformats.org/officeDocument/2006/relationships/hyperlink" Target="http://docs.cntd.ru/document/420228308" TargetMode="External"/><Relationship Id="rId22" Type="http://schemas.openxmlformats.org/officeDocument/2006/relationships/hyperlink" Target="http://docs.cntd.ru/document/557632843" TargetMode="External"/><Relationship Id="rId27" Type="http://schemas.openxmlformats.org/officeDocument/2006/relationships/hyperlink" Target="http://docs.cntd.ru/document/420251752" TargetMode="External"/><Relationship Id="rId30" Type="http://schemas.openxmlformats.org/officeDocument/2006/relationships/hyperlink" Target="http://docs.cntd.ru/document/902111774" TargetMode="External"/><Relationship Id="rId35" Type="http://schemas.openxmlformats.org/officeDocument/2006/relationships/hyperlink" Target="http://docs.cntd.ru/document/420391919" TargetMode="External"/><Relationship Id="rId43" Type="http://schemas.openxmlformats.org/officeDocument/2006/relationships/hyperlink" Target="http://docs.cntd.ru/document/420259159" TargetMode="External"/><Relationship Id="rId48" Type="http://schemas.openxmlformats.org/officeDocument/2006/relationships/hyperlink" Target="http://docs.cntd.ru/document/499005732" TargetMode="External"/><Relationship Id="rId56" Type="http://schemas.openxmlformats.org/officeDocument/2006/relationships/hyperlink" Target="http://docs.cntd.ru/document/902111774" TargetMode="External"/><Relationship Id="rId64" Type="http://schemas.openxmlformats.org/officeDocument/2006/relationships/hyperlink" Target="http://docs.cntd.ru/document/902111774" TargetMode="External"/><Relationship Id="rId69" Type="http://schemas.openxmlformats.org/officeDocument/2006/relationships/hyperlink" Target="http://docs.cntd.ru/document/902111774" TargetMode="External"/><Relationship Id="rId77" Type="http://schemas.openxmlformats.org/officeDocument/2006/relationships/hyperlink" Target="http://docs.cntd.ru/document/542625273" TargetMode="External"/><Relationship Id="rId8" Type="http://schemas.openxmlformats.org/officeDocument/2006/relationships/hyperlink" Target="http://docs.cntd.ru/document/420259159" TargetMode="External"/><Relationship Id="rId51" Type="http://schemas.openxmlformats.org/officeDocument/2006/relationships/hyperlink" Target="http://docs.cntd.ru/document/420219712" TargetMode="External"/><Relationship Id="rId72" Type="http://schemas.openxmlformats.org/officeDocument/2006/relationships/hyperlink" Target="http://docs.cntd.ru/document/420219712" TargetMode="External"/><Relationship Id="rId80" Type="http://schemas.openxmlformats.org/officeDocument/2006/relationships/hyperlink" Target="http://docs.cntd.ru/document/902376691" TargetMode="External"/><Relationship Id="rId85" Type="http://schemas.openxmlformats.org/officeDocument/2006/relationships/hyperlink" Target="http://docs.cntd.ru/document/9021117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228308" TargetMode="External"/><Relationship Id="rId17" Type="http://schemas.openxmlformats.org/officeDocument/2006/relationships/hyperlink" Target="http://docs.cntd.ru/document/902111774" TargetMode="External"/><Relationship Id="rId25" Type="http://schemas.openxmlformats.org/officeDocument/2006/relationships/hyperlink" Target="http://docs.cntd.ru/document/557632843" TargetMode="External"/><Relationship Id="rId33" Type="http://schemas.openxmlformats.org/officeDocument/2006/relationships/hyperlink" Target="http://docs.cntd.ru/document/499085462" TargetMode="External"/><Relationship Id="rId38" Type="http://schemas.openxmlformats.org/officeDocument/2006/relationships/hyperlink" Target="http://docs.cntd.ru/document/420391919" TargetMode="External"/><Relationship Id="rId46" Type="http://schemas.openxmlformats.org/officeDocument/2006/relationships/hyperlink" Target="http://docs.cntd.ru/document/902287707" TargetMode="External"/><Relationship Id="rId59" Type="http://schemas.openxmlformats.org/officeDocument/2006/relationships/hyperlink" Target="http://docs.cntd.ru/document/902111774" TargetMode="External"/><Relationship Id="rId67" Type="http://schemas.openxmlformats.org/officeDocument/2006/relationships/hyperlink" Target="http://docs.cntd.ru/document/420219712" TargetMode="External"/><Relationship Id="rId20" Type="http://schemas.openxmlformats.org/officeDocument/2006/relationships/hyperlink" Target="http://docs.cntd.ru/document/557632843" TargetMode="External"/><Relationship Id="rId41" Type="http://schemas.openxmlformats.org/officeDocument/2006/relationships/hyperlink" Target="http://docs.cntd.ru/document/420219712" TargetMode="External"/><Relationship Id="rId54" Type="http://schemas.openxmlformats.org/officeDocument/2006/relationships/hyperlink" Target="http://docs.cntd.ru/document/557632843" TargetMode="External"/><Relationship Id="rId62" Type="http://schemas.openxmlformats.org/officeDocument/2006/relationships/hyperlink" Target="http://docs.cntd.ru/document/557632843" TargetMode="External"/><Relationship Id="rId70" Type="http://schemas.openxmlformats.org/officeDocument/2006/relationships/hyperlink" Target="http://docs.cntd.ru/document/902111774" TargetMode="External"/><Relationship Id="rId75" Type="http://schemas.openxmlformats.org/officeDocument/2006/relationships/hyperlink" Target="http://docs.cntd.ru/document/420251752" TargetMode="External"/><Relationship Id="rId83" Type="http://schemas.openxmlformats.org/officeDocument/2006/relationships/hyperlink" Target="http://docs.cntd.ru/document/90211177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19712" TargetMode="External"/><Relationship Id="rId15" Type="http://schemas.openxmlformats.org/officeDocument/2006/relationships/hyperlink" Target="http://docs.cntd.ru/document/420251752" TargetMode="External"/><Relationship Id="rId23" Type="http://schemas.openxmlformats.org/officeDocument/2006/relationships/hyperlink" Target="http://docs.cntd.ru/document/420219712" TargetMode="External"/><Relationship Id="rId28" Type="http://schemas.openxmlformats.org/officeDocument/2006/relationships/hyperlink" Target="http://docs.cntd.ru/document/420391919" TargetMode="External"/><Relationship Id="rId36" Type="http://schemas.openxmlformats.org/officeDocument/2006/relationships/hyperlink" Target="http://docs.cntd.ru/document/557632843" TargetMode="External"/><Relationship Id="rId49" Type="http://schemas.openxmlformats.org/officeDocument/2006/relationships/hyperlink" Target="http://docs.cntd.ru/document/499005732" TargetMode="External"/><Relationship Id="rId57" Type="http://schemas.openxmlformats.org/officeDocument/2006/relationships/hyperlink" Target="http://docs.cntd.ru/document/420391919" TargetMode="External"/><Relationship Id="rId10" Type="http://schemas.openxmlformats.org/officeDocument/2006/relationships/hyperlink" Target="http://docs.cntd.ru/document/557632843" TargetMode="External"/><Relationship Id="rId31" Type="http://schemas.openxmlformats.org/officeDocument/2006/relationships/hyperlink" Target="http://docs.cntd.ru/document/420391919" TargetMode="External"/><Relationship Id="rId44" Type="http://schemas.openxmlformats.org/officeDocument/2006/relationships/hyperlink" Target="http://docs.cntd.ru/document/420260995" TargetMode="External"/><Relationship Id="rId52" Type="http://schemas.openxmlformats.org/officeDocument/2006/relationships/hyperlink" Target="http://docs.cntd.ru/document/902021711" TargetMode="External"/><Relationship Id="rId60" Type="http://schemas.openxmlformats.org/officeDocument/2006/relationships/hyperlink" Target="http://docs.cntd.ru/document/902347486" TargetMode="External"/><Relationship Id="rId65" Type="http://schemas.openxmlformats.org/officeDocument/2006/relationships/hyperlink" Target="http://docs.cntd.ru/document/902111774" TargetMode="External"/><Relationship Id="rId73" Type="http://schemas.openxmlformats.org/officeDocument/2006/relationships/hyperlink" Target="http://docs.cntd.ru/document/420251752" TargetMode="External"/><Relationship Id="rId78" Type="http://schemas.openxmlformats.org/officeDocument/2006/relationships/hyperlink" Target="http://docs.cntd.ru/document/902111774" TargetMode="External"/><Relationship Id="rId81" Type="http://schemas.openxmlformats.org/officeDocument/2006/relationships/hyperlink" Target="http://docs.cntd.ru/document/902376691" TargetMode="External"/><Relationship Id="rId86" Type="http://schemas.openxmlformats.org/officeDocument/2006/relationships/hyperlink" Target="http://docs.cntd.ru/document/902111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3</cp:revision>
  <dcterms:created xsi:type="dcterms:W3CDTF">2019-11-20T11:27:00Z</dcterms:created>
  <dcterms:modified xsi:type="dcterms:W3CDTF">2019-11-20T12:50:00Z</dcterms:modified>
</cp:coreProperties>
</file>