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09" w:rsidRPr="00B51FA7" w:rsidRDefault="00B51FA7">
      <w:pPr>
        <w:rPr>
          <w:b/>
          <w:sz w:val="40"/>
        </w:rPr>
      </w:pPr>
      <w:r w:rsidRPr="00B51FA7">
        <w:rPr>
          <w:b/>
          <w:sz w:val="40"/>
        </w:rPr>
        <w:t>Основные изменения в трудовом и миграционном законодательстве с 2015 года</w:t>
      </w:r>
    </w:p>
    <w:p w:rsidR="00B51FA7" w:rsidRDefault="00B51FA7">
      <w:r>
        <w:t>Редакция вступает в силу с 1 января 2015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Дата изменения</w:t>
            </w:r>
          </w:p>
        </w:tc>
        <w:tc>
          <w:tcPr>
            <w:tcW w:w="2393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Суть изменения</w:t>
            </w:r>
          </w:p>
        </w:tc>
        <w:tc>
          <w:tcPr>
            <w:tcW w:w="2393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Основание</w:t>
            </w:r>
          </w:p>
        </w:tc>
        <w:tc>
          <w:tcPr>
            <w:tcW w:w="2393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Подробнее в системе</w:t>
            </w:r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1 января 2015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Утверждена новая редакция</w:t>
            </w:r>
            <w:r w:rsidRPr="00C319BF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hyperlink r:id="rId4" w:anchor="/document/99/499067400/ZAP1UT23B3/" w:tooltip="Статья 5.27. Нарушение трудового законодательства и иных нормативных правовых актов, содержащих нормы трудового права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 xml:space="preserve">статьи 5.27 </w:t>
              </w:r>
              <w:proofErr w:type="spellStart"/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КоАП</w:t>
              </w:r>
              <w:proofErr w:type="spellEnd"/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 РФ</w:t>
              </w:r>
            </w:hyperlink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, которая регулирует меры ответственности за нарушения трудового законодательства. В частности, установлен дополнительный штраф до 100 000 руб. за отказ от заключения трудового договора или его подмену гражданско-правовым договором. Внесена новая</w:t>
            </w:r>
            <w:r w:rsidRPr="00C319BF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hyperlink r:id="rId5" w:anchor="/document/99/499067400/ZAP1RIK3AN/" w:tooltip="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 xml:space="preserve">статья 5.27.1 </w:t>
              </w:r>
              <w:proofErr w:type="spellStart"/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КоАП</w:t>
              </w:r>
              <w:proofErr w:type="spellEnd"/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 РФ</w:t>
              </w:r>
            </w:hyperlink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 xml:space="preserve">, предусматривающая отдельные меры административной ответственности за нарушения в сфере охраны труда со штрафами до 200 000 руб. Статья 19.5 </w:t>
            </w:r>
            <w:proofErr w:type="spellStart"/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КоАП</w:t>
            </w:r>
            <w:proofErr w:type="spellEnd"/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 РФ дополнена новой</w:t>
            </w:r>
            <w:r w:rsidRPr="00C319BF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hyperlink r:id="rId6" w:anchor="/document/99/499067400/ZAP2H9C3K4/" w:tooltip="23.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...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частью 23</w:t>
              </w:r>
            </w:hyperlink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, которая предусматривает штрафы до 200 000 руб. за неисполнение предписаний контролирующих органов в сфере трудового законодательства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7" w:anchor="/document/99/499067400/ZA00M5O2MJ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Статья 11</w:t>
              </w:r>
            </w:hyperlink>
            <w:r w:rsidRPr="00C319BF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Закона от 28 декабря 2013 г. № 421-ФЗ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8" w:anchor="/document/117/17427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Административная ответственность за нарушение трудового и миграционного законодательства</w:t>
              </w:r>
            </w:hyperlink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1 января 2015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Утверждены новые правила подсчета и подтверждения страхового стажа для назначения пенсии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9" w:anchor="/document/99/420224743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Постановление Правительства РФ от 2 октября 2014 г. № 1015</w:t>
              </w:r>
            </w:hyperlink>
          </w:p>
        </w:tc>
        <w:tc>
          <w:tcPr>
            <w:tcW w:w="2393" w:type="dxa"/>
          </w:tcPr>
          <w:p w:rsidR="00B51FA7" w:rsidRPr="00C319BF" w:rsidRDefault="00B51FA7" w:rsidP="00B51FA7">
            <w:hyperlink r:id="rId10" w:anchor="/document/99/420224743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Постановление Правительства РФ от 2 октября 2014 г. № 1015</w:t>
              </w:r>
            </w:hyperlink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1 января 2015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Работодателям разрешили выдавать трудовые книжки сотрудникам на руки для оформления пенсии. При этом сотрудник обязан вернуть ее обратно в организацию не позднее трех рабочих дней со дня получения в территориальном отделении Пенсионного фонда РФ после назначения пенсии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11" w:anchor="/document/99/420208821/ZAP2ED03L2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Статья 18</w:t>
              </w:r>
            </w:hyperlink>
            <w:r w:rsidRPr="00C319BF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Закона от 21 июля 2014 г. № 216-ФЗ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12" w:anchor="/document/184/1459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Трудовые книжки разрешили выдавать работникам на руки</w:t>
              </w:r>
            </w:hyperlink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1 января 2015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Утвержден новый перечень списков работ, производств, профессий, должностей, специальностей и учреждений (организаций), которые применяются при досрочном назначении страховой пенсии по старости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13" w:anchor="/document/99/420209265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Постановление Правительства РФ от 16 июля 2014 г. № 665</w:t>
              </w:r>
            </w:hyperlink>
          </w:p>
        </w:tc>
        <w:tc>
          <w:tcPr>
            <w:tcW w:w="2393" w:type="dxa"/>
          </w:tcPr>
          <w:p w:rsidR="00B51FA7" w:rsidRPr="00C319BF" w:rsidRDefault="00B51FA7" w:rsidP="00B51FA7">
            <w:hyperlink r:id="rId14" w:anchor="/document/99/420209265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Постановление Правительства РФ от 16 июля 2014 г. № 665</w:t>
              </w:r>
            </w:hyperlink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1 января 2015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Чтобы получить разрешение на временное проживание, вид на жительство, разрешение на работу либо патент, иностранец обязан подтвердить не только владение русским языком, но и знание истории России и основ законодательства России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15" w:anchor="/document/99/499090501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20 апреля 2014 г. № 74-ФЗ</w:t>
              </w:r>
            </w:hyperlink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;</w:t>
            </w:r>
            <w:r w:rsidRPr="00C319BF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hyperlink r:id="rId16" w:anchor="/document/99/420202717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23 июня 2014 г. № 164-ФЗ</w:t>
              </w:r>
            </w:hyperlink>
          </w:p>
        </w:tc>
        <w:tc>
          <w:tcPr>
            <w:tcW w:w="2393" w:type="dxa"/>
          </w:tcPr>
          <w:p w:rsidR="00B51FA7" w:rsidRPr="00C319BF" w:rsidRDefault="00B51FA7" w:rsidP="00B51FA7">
            <w:hyperlink r:id="rId17" w:anchor="/document/99/499090501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20 апреля 2014 г. № 74-ФЗ</w:t>
              </w:r>
            </w:hyperlink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;</w:t>
            </w:r>
            <w:r w:rsidRPr="00C319BF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hyperlink r:id="rId18" w:anchor="/document/99/420202717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23 июня 2014 г. № 164-ФЗ</w:t>
              </w:r>
            </w:hyperlink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1 января 2015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В Республике Крым и </w:t>
            </w:r>
            <w:proofErr w:type="gramStart"/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г</w:t>
            </w:r>
            <w:proofErr w:type="gramEnd"/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. Севастополе не применяются трудовые договоры, которые не привели в соответствие с российским законодательством.</w:t>
            </w:r>
            <w:r w:rsidRPr="00C319BF">
              <w:rPr>
                <w:rFonts w:ascii="Arial" w:hAnsi="Arial" w:cs="Arial"/>
                <w:color w:val="444444"/>
              </w:rPr>
              <w:br/>
            </w: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 xml:space="preserve">Если в организации не была проведена аттестация рабочих мест по условиям </w:t>
            </w: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труда, то с 1 января 2015 года в отношении таких рабочих мест нужно провести специальную оценку условий труда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19" w:anchor="/document/99/420225766/ZAP2G503LL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14 октября 2014 г. № 299-ФЗ</w:t>
              </w:r>
            </w:hyperlink>
          </w:p>
        </w:tc>
        <w:tc>
          <w:tcPr>
            <w:tcW w:w="2393" w:type="dxa"/>
          </w:tcPr>
          <w:p w:rsidR="00B51FA7" w:rsidRPr="00C319BF" w:rsidRDefault="00B51FA7" w:rsidP="00B51FA7">
            <w:hyperlink r:id="rId20" w:anchor="/document/99/420225766/ZAP2G503LL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14 октября 2014 г. № 299-ФЗ</w:t>
              </w:r>
            </w:hyperlink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1 июня 2015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Запрещен допуск к управлению транспортными средствами водителей, у которых нет российских прав. За нарушение данного правила работодателю грозит штраф в размере 50 тыс. руб.</w:t>
            </w:r>
          </w:p>
        </w:tc>
        <w:tc>
          <w:tcPr>
            <w:tcW w:w="2393" w:type="dxa"/>
          </w:tcPr>
          <w:p w:rsidR="00B51FA7" w:rsidRPr="00C319BF" w:rsidRDefault="00B51FA7" w:rsidP="00B51FA7">
            <w:pPr>
              <w:pStyle w:val="a5"/>
              <w:shd w:val="clear" w:color="auto" w:fill="FFFFFF"/>
              <w:spacing w:before="75" w:beforeAutospacing="0" w:after="75" w:afterAutospacing="0" w:line="332" w:lineRule="atLeast"/>
              <w:ind w:left="300" w:right="300"/>
              <w:rPr>
                <w:rFonts w:ascii="Arial" w:hAnsi="Arial" w:cs="Arial"/>
                <w:color w:val="444444"/>
                <w:sz w:val="22"/>
                <w:szCs w:val="22"/>
              </w:rPr>
            </w:pPr>
            <w:hyperlink r:id="rId21" w:anchor="/document/99/499093395/" w:history="1">
              <w:r w:rsidRPr="00C319BF">
                <w:rPr>
                  <w:rStyle w:val="a4"/>
                  <w:rFonts w:ascii="Arial" w:hAnsi="Arial" w:cs="Arial"/>
                  <w:color w:val="E03F62"/>
                  <w:sz w:val="22"/>
                  <w:szCs w:val="22"/>
                </w:rPr>
                <w:t>Закон от 5 мая 2014 г. № 132-ФЗ</w:t>
              </w:r>
            </w:hyperlink>
          </w:p>
          <w:p w:rsidR="00B51FA7" w:rsidRPr="00C319BF" w:rsidRDefault="00B51FA7" w:rsidP="00B51FA7">
            <w:pPr>
              <w:pStyle w:val="a5"/>
              <w:shd w:val="clear" w:color="auto" w:fill="FFFFFF"/>
              <w:spacing w:before="75" w:beforeAutospacing="0" w:after="75" w:afterAutospacing="0" w:line="332" w:lineRule="atLeast"/>
              <w:ind w:left="300" w:right="300"/>
              <w:rPr>
                <w:rFonts w:ascii="Arial" w:hAnsi="Arial" w:cs="Arial"/>
                <w:color w:val="444444"/>
                <w:sz w:val="22"/>
                <w:szCs w:val="22"/>
              </w:rPr>
            </w:pPr>
            <w:hyperlink r:id="rId22" w:anchor="/document/99/499018395/" w:history="1">
              <w:r w:rsidRPr="00C319BF">
                <w:rPr>
                  <w:rStyle w:val="a4"/>
                  <w:rFonts w:ascii="Arial" w:hAnsi="Arial" w:cs="Arial"/>
                  <w:color w:val="E03F62"/>
                  <w:sz w:val="22"/>
                  <w:szCs w:val="22"/>
                </w:rPr>
                <w:t>Закон от 7 мая 2013 г. № 92-ФЗ</w:t>
              </w:r>
            </w:hyperlink>
          </w:p>
          <w:p w:rsidR="00B51FA7" w:rsidRPr="00C319BF" w:rsidRDefault="00B51FA7" w:rsidP="00B51FA7">
            <w:pPr>
              <w:pStyle w:val="a5"/>
              <w:shd w:val="clear" w:color="auto" w:fill="FFFFFF"/>
              <w:spacing w:before="75" w:beforeAutospacing="0" w:after="75" w:afterAutospacing="0" w:line="332" w:lineRule="atLeast"/>
              <w:ind w:left="300" w:right="300"/>
              <w:rPr>
                <w:rFonts w:ascii="Arial" w:hAnsi="Arial" w:cs="Arial"/>
                <w:color w:val="444444"/>
                <w:sz w:val="22"/>
                <w:szCs w:val="22"/>
              </w:rPr>
            </w:pPr>
            <w:hyperlink r:id="rId23" w:anchor="/document/99/499054229/" w:history="1">
              <w:r w:rsidRPr="00C319BF">
                <w:rPr>
                  <w:rStyle w:val="a4"/>
                  <w:rFonts w:ascii="Arial" w:hAnsi="Arial" w:cs="Arial"/>
                  <w:color w:val="E03F62"/>
                  <w:sz w:val="22"/>
                  <w:szCs w:val="22"/>
                </w:rPr>
                <w:t>Закон от 2 ноября 2013 г. № 285-ФЗ</w:t>
              </w:r>
            </w:hyperlink>
          </w:p>
          <w:p w:rsidR="00B51FA7" w:rsidRPr="00C319BF" w:rsidRDefault="00B51FA7" w:rsidP="00B51FA7"/>
        </w:tc>
        <w:tc>
          <w:tcPr>
            <w:tcW w:w="2393" w:type="dxa"/>
          </w:tcPr>
          <w:p w:rsidR="00B51FA7" w:rsidRPr="00C319BF" w:rsidRDefault="00B51FA7" w:rsidP="00B51FA7">
            <w:hyperlink r:id="rId24" w:anchor="/document/130/51235/el7983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Можно ли принять на работу водителем иностранного гражданина, у которого водительские права получены за границей</w:t>
              </w:r>
            </w:hyperlink>
          </w:p>
        </w:tc>
      </w:tr>
      <w:tr w:rsidR="00B51FA7" w:rsidTr="00B51FA7">
        <w:tc>
          <w:tcPr>
            <w:tcW w:w="2392" w:type="dxa"/>
          </w:tcPr>
          <w:p w:rsidR="00B51FA7" w:rsidRPr="00C319BF" w:rsidRDefault="00B51FA7" w:rsidP="00B51FA7">
            <w:pPr>
              <w:jc w:val="center"/>
            </w:pPr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1 января 2016 г.</w:t>
            </w:r>
          </w:p>
        </w:tc>
        <w:tc>
          <w:tcPr>
            <w:tcW w:w="2393" w:type="dxa"/>
          </w:tcPr>
          <w:p w:rsidR="00B51FA7" w:rsidRPr="00C319BF" w:rsidRDefault="00B51FA7" w:rsidP="00B51FA7">
            <w:r w:rsidRPr="00C319BF">
              <w:rPr>
                <w:rFonts w:ascii="Arial" w:hAnsi="Arial" w:cs="Arial"/>
                <w:color w:val="444444"/>
                <w:shd w:val="clear" w:color="auto" w:fill="FFFFFF"/>
              </w:rPr>
              <w:t>Трудовой кодекс РФ дополнен статьей 56.1, которая устанавливает запрет на заемный труд. Применение заемного труда будет возможно только в ограниченных законодательством случаях</w:t>
            </w:r>
          </w:p>
        </w:tc>
        <w:tc>
          <w:tcPr>
            <w:tcW w:w="2393" w:type="dxa"/>
          </w:tcPr>
          <w:p w:rsidR="00B51FA7" w:rsidRPr="00C319BF" w:rsidRDefault="00B51FA7" w:rsidP="00B51FA7">
            <w:hyperlink r:id="rId25" w:anchor="/document/99/499093541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5 мая 2014 г. № 116-ФЗ</w:t>
              </w:r>
            </w:hyperlink>
          </w:p>
        </w:tc>
        <w:tc>
          <w:tcPr>
            <w:tcW w:w="2393" w:type="dxa"/>
          </w:tcPr>
          <w:p w:rsidR="00B51FA7" w:rsidRPr="00C319BF" w:rsidRDefault="00B51FA7" w:rsidP="00B51FA7">
            <w:hyperlink r:id="rId26" w:anchor="/document/99/499093541/" w:history="1">
              <w:r w:rsidRPr="00C319BF">
                <w:rPr>
                  <w:rStyle w:val="a4"/>
                  <w:rFonts w:ascii="Arial" w:hAnsi="Arial" w:cs="Arial"/>
                  <w:color w:val="E03F62"/>
                  <w:shd w:val="clear" w:color="auto" w:fill="FFFFFF"/>
                </w:rPr>
                <w:t>Закон от 5 мая 2014 г. № 116-ФЗ</w:t>
              </w:r>
            </w:hyperlink>
          </w:p>
        </w:tc>
      </w:tr>
    </w:tbl>
    <w:p w:rsidR="00B51FA7" w:rsidRDefault="00B51FA7" w:rsidP="00B51FA7">
      <w:pPr>
        <w:jc w:val="center"/>
      </w:pPr>
    </w:p>
    <w:sectPr w:rsidR="00B51FA7" w:rsidSect="00C319BF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A7"/>
    <w:rsid w:val="00250A09"/>
    <w:rsid w:val="00B51FA7"/>
    <w:rsid w:val="00C3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1FA7"/>
  </w:style>
  <w:style w:type="character" w:styleId="a4">
    <w:name w:val="Hyperlink"/>
    <w:basedOn w:val="a0"/>
    <w:uiPriority w:val="99"/>
    <w:semiHidden/>
    <w:unhideWhenUsed/>
    <w:rsid w:val="00B51F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kadry.ru/" TargetMode="External"/><Relationship Id="rId13" Type="http://schemas.openxmlformats.org/officeDocument/2006/relationships/hyperlink" Target="http://www.1kadry.ru/" TargetMode="External"/><Relationship Id="rId18" Type="http://schemas.openxmlformats.org/officeDocument/2006/relationships/hyperlink" Target="http://www.1kadry.ru/" TargetMode="External"/><Relationship Id="rId26" Type="http://schemas.openxmlformats.org/officeDocument/2006/relationships/hyperlink" Target="http://www.1kadr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kadry.ru/" TargetMode="External"/><Relationship Id="rId7" Type="http://schemas.openxmlformats.org/officeDocument/2006/relationships/hyperlink" Target="http://www.1kadry.ru/" TargetMode="External"/><Relationship Id="rId12" Type="http://schemas.openxmlformats.org/officeDocument/2006/relationships/hyperlink" Target="http://www.1kadry.ru/" TargetMode="External"/><Relationship Id="rId17" Type="http://schemas.openxmlformats.org/officeDocument/2006/relationships/hyperlink" Target="http://www.1kadry.ru/" TargetMode="External"/><Relationship Id="rId25" Type="http://schemas.openxmlformats.org/officeDocument/2006/relationships/hyperlink" Target="http://www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kadry.ru/" TargetMode="External"/><Relationship Id="rId20" Type="http://schemas.openxmlformats.org/officeDocument/2006/relationships/hyperlink" Target="http://www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kadry.ru/" TargetMode="External"/><Relationship Id="rId11" Type="http://schemas.openxmlformats.org/officeDocument/2006/relationships/hyperlink" Target="http://www.1kadry.ru/" TargetMode="External"/><Relationship Id="rId24" Type="http://schemas.openxmlformats.org/officeDocument/2006/relationships/hyperlink" Target="http://www.1kadry.ru/" TargetMode="External"/><Relationship Id="rId5" Type="http://schemas.openxmlformats.org/officeDocument/2006/relationships/hyperlink" Target="http://www.1kadry.ru/" TargetMode="External"/><Relationship Id="rId15" Type="http://schemas.openxmlformats.org/officeDocument/2006/relationships/hyperlink" Target="http://www.1kadry.ru/" TargetMode="External"/><Relationship Id="rId23" Type="http://schemas.openxmlformats.org/officeDocument/2006/relationships/hyperlink" Target="http://www.1kad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1kadry.ru/" TargetMode="External"/><Relationship Id="rId19" Type="http://schemas.openxmlformats.org/officeDocument/2006/relationships/hyperlink" Target="http://www.1kadry.ru/" TargetMode="External"/><Relationship Id="rId4" Type="http://schemas.openxmlformats.org/officeDocument/2006/relationships/hyperlink" Target="http://www.1kadry.ru/" TargetMode="External"/><Relationship Id="rId9" Type="http://schemas.openxmlformats.org/officeDocument/2006/relationships/hyperlink" Target="http://www.1kadry.ru/" TargetMode="External"/><Relationship Id="rId14" Type="http://schemas.openxmlformats.org/officeDocument/2006/relationships/hyperlink" Target="http://www.1kadry.ru/" TargetMode="External"/><Relationship Id="rId22" Type="http://schemas.openxmlformats.org/officeDocument/2006/relationships/hyperlink" Target="http://www.1kad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2015-04-09T07:29:00Z</cp:lastPrinted>
  <dcterms:created xsi:type="dcterms:W3CDTF">2015-04-09T07:16:00Z</dcterms:created>
  <dcterms:modified xsi:type="dcterms:W3CDTF">2015-04-09T07:36:00Z</dcterms:modified>
</cp:coreProperties>
</file>